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</w:rPr>
        <w:t>振动频率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≤</w:t>
      </w:r>
      <w:r>
        <w:rPr>
          <w:rFonts w:hint="eastAsia" w:ascii="仿宋_GB2312" w:hAnsi="仿宋_GB2312" w:eastAsia="仿宋_GB2312" w:cs="仿宋_GB2312"/>
          <w:sz w:val="24"/>
          <w:szCs w:val="24"/>
        </w:rPr>
        <w:t>13Hz，控制精度±15%，可连续调节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振动压力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≤</w:t>
      </w:r>
      <w:r>
        <w:rPr>
          <w:rFonts w:hint="eastAsia" w:ascii="仿宋_GB2312" w:hAnsi="仿宋_GB2312" w:eastAsia="仿宋_GB2312" w:cs="仿宋_GB2312"/>
          <w:sz w:val="24"/>
          <w:szCs w:val="24"/>
        </w:rPr>
        <w:t>5kPa，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至少分10级可调；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sz w:val="24"/>
          <w:szCs w:val="24"/>
        </w:rPr>
        <w:t>定时时间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≥60min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以1min为调节单位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，长按可以连续调节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振动压力控制精度：输出值与设置值的误差不超过±0.2</w:t>
      </w:r>
      <w:r>
        <w:rPr>
          <w:rFonts w:hint="eastAsia" w:ascii="仿宋_GB2312" w:hAnsi="仿宋_GB2312" w:eastAsia="仿宋_GB2312" w:cs="仿宋_GB2312"/>
          <w:sz w:val="24"/>
          <w:szCs w:val="24"/>
        </w:rPr>
        <w:t>kPa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具有中文操作界面，显示屏幕≥4英寸；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具有手持开关，可紧急制动；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背心的设计应避免对胃脘部的振荡而导致损伤；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背心内衬可拆卸清洗消毒；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整机使用年限≥10年；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整机质保≥2年；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配置要求：背心大码中码各2套（含内衬），额外背心内衬大码中码各2套，胸带1套，链接气管1套；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71D72"/>
    <w:multiLevelType w:val="singleLevel"/>
    <w:tmpl w:val="49D71D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2EE31B81"/>
    <w:rsid w:val="2EE3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2023-08-17T01:42:00Z</dcterms:created>
  <dc:creator>ye</dc:creator>
  <cp:lastModifiedBy>ye</cp:lastModifiedBy>
  <dcterms:modified xsi:type="dcterms:W3CDTF">2023-08-17T01:56:16Z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F96A0465B8F745D0AF692ED11FC529CB_11</vt:lpwstr>
  </property>
</Properties>
</file>