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技术参数：</w:t>
      </w:r>
    </w:p>
    <w:p>
      <w:pPr>
        <w:numPr>
          <w:ilvl w:val="0"/>
          <w:numId w:val="2"/>
        </w:numPr>
        <w:spacing w:line="440" w:lineRule="exact"/>
        <w:rPr>
          <w:rFonts w:hint="eastAsia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摄影系统：</w:t>
      </w:r>
    </w:p>
    <w:p>
      <w:pPr>
        <w:numPr>
          <w:ilvl w:val="1"/>
          <w:numId w:val="2"/>
        </w:numPr>
        <w:spacing w:line="440" w:lineRule="exact"/>
        <w:rPr>
          <w:rFonts w:hint="eastAsia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具有高清图像，输出分辨率为1080P（1920*1080）；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具有4K图像，输出分辨率至少含3840*2160；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具有视频输出功能，可实时自行录制术中影像，视频分辨率可自行切换，切换范围至少含以下分辨率：720P，1080P，4K；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成像模式：至少具备白光模式及近红外光显影模式；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主机可调节色彩、亮度峰值等相关图像参数；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具有动态（智能）调节亮度功能；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最低照度≤1.5Lux，信噪比&gt;55db；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逐行扫描，全高清数字化图像，至少拥有三晶片CMOS或CCD传感器；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可根据不同腔体环境，配置色彩、亮度等参数，至少拥有以下模式：关节镜，膀胱镜，耳鼻喉镜，柔性内窥镜，宫腔镜，腹腔镜，显微镜，激光，标准；可一键切换模式；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术野画面亮度多级可调；且具有多级放大功能；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术野画面可上下、左右翻转；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主机可设置白平衡、拍照、自动录像、快门亮度、变焦等功能；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主机面板≥3英寸，具有中文操作页面（菜单）；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配备2套≥27英寸的医用显示器；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额外配备刻录机1台；</w:t>
      </w:r>
    </w:p>
    <w:p>
      <w:pPr>
        <w:numPr>
          <w:ilvl w:val="1"/>
          <w:numId w:val="2"/>
        </w:numPr>
        <w:spacing w:line="440" w:lineRule="exact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至少具备HDMI/SDI/DVI/SUB接口；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  <w:t>摄像头：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具有三晶片CMOS或者CCD传感器；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摄像头具有可自定义功能按键，可控制气腹机、调节亮度、切换光源、录像、拍照等功能；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摄像头最大像素≥1920*1080；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</w:rPr>
        <w:t>摄像头可直接控制配套光源和持镜器</w:t>
      </w:r>
      <w:r>
        <w:rPr>
          <w:rFonts w:hint="eastAsia" w:ascii="仿宋" w:hAnsi="仿宋" w:eastAsia="仿宋"/>
          <w:color w:val="000000"/>
          <w:szCs w:val="21"/>
          <w:lang w:eastAsia="zh-CN"/>
        </w:rPr>
        <w:t>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医用电气等级≥BF-1型；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  <w:t>光源：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色温≥6000K；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最大寿命≥30000h；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最大照度≥1800000Lux；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类型：LED；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具有中文操作界面；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具有亮度可调功能，至少分100级；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具有待机功能呢，可一键开启照明；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具有光纤感应装置，无光纤接入时不可进入照明模式；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具有通用光纤卡扣，兼容市面大部分品牌光纤；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  <w:t>内窥镜：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超广角，视野周边不扭曲，视野清晰；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最大景深≥150mm；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制作材料：柱状晶体；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支持荧光功能；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可按常规方式消毒灭菌，如：高温高压、浸泡等；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Cs w:val="21"/>
          <w:lang w:val="en-US" w:eastAsia="zh-CN"/>
        </w:rPr>
        <w:t>气腹机：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最大气流量≥40L/min；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lang w:val="en-US" w:eastAsia="zh-CN"/>
        </w:rPr>
        <w:t>至少具有儿童、成人、肥胖等多种灌流模式，适用成人、儿童、肥胖、胸外等多人群/手术类型；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1"/>
        </w:rPr>
        <w:t>具有实时压力监测功能，具备图形显示声光报警功能</w:t>
      </w:r>
      <w:r>
        <w:rPr>
          <w:rFonts w:hint="eastAsia" w:ascii="仿宋" w:hAnsi="仿宋" w:eastAsia="仿宋" w:cs="宋体"/>
          <w:kern w:val="0"/>
          <w:sz w:val="24"/>
          <w:szCs w:val="21"/>
          <w:lang w:eastAsia="zh-CN"/>
        </w:rPr>
        <w:t>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1"/>
        </w:rPr>
        <w:t>具有双路安全检测功能及压力过高感应及自动泄气功能</w:t>
      </w:r>
      <w:r>
        <w:rPr>
          <w:rFonts w:hint="eastAsia" w:ascii="仿宋" w:hAnsi="仿宋" w:eastAsia="仿宋" w:cs="宋体"/>
          <w:kern w:val="0"/>
          <w:sz w:val="24"/>
          <w:szCs w:val="21"/>
          <w:lang w:eastAsia="zh-CN"/>
        </w:rPr>
        <w:t>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1"/>
          <w:lang w:val="en-US" w:eastAsia="zh-CN"/>
        </w:rPr>
        <w:t>具有中文操作界面；</w:t>
      </w:r>
    </w:p>
    <w:p>
      <w:pPr>
        <w:numPr>
          <w:ilvl w:val="1"/>
          <w:numId w:val="2"/>
        </w:numPr>
        <w:spacing w:line="440" w:lineRule="exact"/>
        <w:ind w:left="0" w:leftChars="0" w:firstLine="0" w:firstLineChars="0"/>
        <w:rPr>
          <w:rFonts w:hint="default" w:ascii="仿宋" w:hAnsi="仿宋" w:eastAsia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1"/>
          <w:lang w:val="en-US" w:eastAsia="zh-CN"/>
        </w:rPr>
        <w:t>配备至少250cm的气腹管；</w:t>
      </w:r>
    </w:p>
    <w:p/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配置清单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93"/>
        <w:gridCol w:w="3119"/>
        <w:gridCol w:w="781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1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81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0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医用内窥镜L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ED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冷光源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显示器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含底座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气腹机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10mm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腹腔内窥镜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5mm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腹腔内窥镜</w:t>
            </w:r>
          </w:p>
        </w:tc>
        <w:tc>
          <w:tcPr>
            <w:tcW w:w="3119" w:type="dxa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导光束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与主机同一品牌</w:t>
            </w: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内窥镜专用台车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</w:rPr>
              <w:t>录像工作站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刻录机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腹腔镜消毒盒</w:t>
            </w:r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93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1"/>
                <w:lang w:val="en-US" w:eastAsia="zh-CN"/>
              </w:rPr>
              <w:t>外置存储设备</w:t>
            </w:r>
            <w:bookmarkStart w:id="0" w:name="_GoBack"/>
            <w:bookmarkEnd w:id="0"/>
          </w:p>
        </w:tc>
        <w:tc>
          <w:tcPr>
            <w:tcW w:w="3119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可录制手术视频1000min</w:t>
            </w:r>
          </w:p>
        </w:tc>
        <w:tc>
          <w:tcPr>
            <w:tcW w:w="781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0" w:type="dxa"/>
            <w:vAlign w:val="top"/>
          </w:tcPr>
          <w:p>
            <w:pPr>
              <w:spacing w:line="440" w:lineRule="exact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E1146A"/>
    <w:multiLevelType w:val="multilevel"/>
    <w:tmpl w:val="7EE114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3BA95494"/>
    <w:rsid w:val="32994C8F"/>
    <w:rsid w:val="3BA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2023-08-03T07:52:00Z</dcterms:created>
  <dc:creator>ye</dc:creator>
  <cp:lastModifiedBy>ye</cp:lastModifiedBy>
  <dcterms:modified xsi:type="dcterms:W3CDTF">2023-08-03T08:05:26Z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7077F2A065F8493CA2BDB09B07C45627_11</vt:lpwstr>
  </property>
</Properties>
</file>