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widowControl/>
        <w:spacing w:line="360" w:lineRule="auto"/>
        <w:ind w:firstLine="2168" w:firstLineChars="6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项目名称：中山市小榄人民医院电类材料协议供货</w:t>
      </w:r>
    </w:p>
    <w:p>
      <w:pPr>
        <w:widowControl/>
        <w:spacing w:line="360" w:lineRule="auto"/>
        <w:ind w:firstLine="3975" w:firstLineChars="11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（一年）采购项目</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项目编号：XLYY20230729</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07</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总预算金额（元）：¥220000.00元</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rPr>
              <w:t>中山市小榄人民医院电类材料协议供货（一年）</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22</w:t>
            </w:r>
            <w:r>
              <w:rPr>
                <w:rFonts w:hint="eastAsia" w:cs="宋体"/>
                <w:color w:val="auto"/>
                <w:highlight w:val="none"/>
                <w:lang w:val="en-US" w:eastAsia="zh-CN"/>
              </w:rPr>
              <w:t>0</w:t>
            </w:r>
            <w:r>
              <w:rPr>
                <w:rFonts w:hint="default" w:ascii="宋体" w:hAnsi="宋体" w:eastAsia="宋体" w:cs="宋体"/>
                <w:color w:val="auto"/>
                <w:highlight w:val="none"/>
                <w:lang w:val="en-US" w:eastAsia="zh-CN"/>
              </w:rPr>
              <w:t>,000.00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《谈判文件》</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2023年7月26日16:00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4份（1正3副）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w:t>
      </w:r>
      <w:r>
        <w:rPr>
          <w:rFonts w:hint="eastAsia" w:cs="宋体"/>
          <w:i w:val="0"/>
          <w:iCs w:val="0"/>
          <w:caps w:val="0"/>
          <w:color w:val="auto"/>
          <w:spacing w:val="0"/>
          <w:sz w:val="27"/>
          <w:szCs w:val="27"/>
          <w:highlight w:val="none"/>
          <w:shd w:val="clear" w:fill="FFFFFF"/>
          <w:vertAlign w:val="baseline"/>
          <w:lang w:val="en-US" w:eastAsia="zh-CN"/>
        </w:rPr>
        <w:t>缺一不可</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w:t>
      </w:r>
      <w:r>
        <w:rPr>
          <w:rFonts w:hint="eastAsia" w:cs="宋体"/>
          <w:b w:val="0"/>
          <w:bCs w:val="0"/>
          <w:i w:val="0"/>
          <w:iCs w:val="0"/>
          <w:caps w:val="0"/>
          <w:color w:val="auto"/>
          <w:spacing w:val="0"/>
          <w:sz w:val="27"/>
          <w:szCs w:val="27"/>
          <w:highlight w:val="none"/>
          <w:shd w:val="clear" w:fill="FFFFFF"/>
          <w:vertAlign w:val="baseline"/>
          <w:lang w:val="en-US" w:eastAsia="zh-CN"/>
        </w:rPr>
        <w:t>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份，一正</w:t>
      </w:r>
      <w:r>
        <w:rPr>
          <w:rFonts w:hint="eastAsia" w:cs="宋体"/>
          <w:b w:val="0"/>
          <w:bCs w:val="0"/>
          <w:i w:val="0"/>
          <w:iCs w:val="0"/>
          <w:caps w:val="0"/>
          <w:color w:val="auto"/>
          <w:spacing w:val="0"/>
          <w:sz w:val="27"/>
          <w:szCs w:val="27"/>
          <w:highlight w:val="none"/>
          <w:shd w:val="clear" w:fill="FFFFFF"/>
          <w:vertAlign w:val="baseline"/>
          <w:lang w:val="en-US" w:eastAsia="zh-CN"/>
        </w:rPr>
        <w:t>三</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副），供采购人进行预审核：</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7月19日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19"/>
        <w:numPr>
          <w:ilvl w:val="0"/>
          <w:numId w:val="0"/>
        </w:numPr>
        <w:spacing w:line="300" w:lineRule="auto"/>
        <w:ind w:left="0" w:leftChars="0" w:firstLine="640" w:firstLineChars="200"/>
        <w:jc w:val="center"/>
        <w:rPr>
          <w:rFonts w:hint="default" w:ascii="Calibri" w:hAnsi="Calibri" w:eastAsia="宋体" w:cs="Times New Roman"/>
          <w:color w:val="auto"/>
          <w:kern w:val="2"/>
          <w:sz w:val="21"/>
          <w:szCs w:val="22"/>
          <w:lang w:val="en-US" w:eastAsia="zh-CN" w:bidi="ar-SA"/>
        </w:rPr>
      </w:pPr>
      <w:r>
        <w:rPr>
          <w:rFonts w:hint="eastAsia" w:ascii="宋体" w:hAnsi="宋体" w:eastAsia="宋体" w:cs="宋体"/>
          <w:sz w:val="32"/>
          <w:szCs w:val="21"/>
          <w:highlight w:val="none"/>
        </w:rPr>
        <w:t>用户需求书</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1、</w:t>
      </w:r>
      <w:r>
        <w:rPr>
          <w:rFonts w:hint="eastAsia"/>
        </w:rPr>
        <w:t>标注“</w:t>
      </w:r>
      <w:r>
        <w:rPr>
          <w:rFonts w:hint="eastAsia" w:asciiTheme="minorEastAsia" w:hAnsiTheme="minorEastAsia"/>
        </w:rPr>
        <w:t>★</w:t>
      </w:r>
      <w:r>
        <w:rPr>
          <w:rFonts w:hint="eastAsia"/>
        </w:rPr>
        <w:t>”号条款为重要响应条款，不允许存在任何负偏离。如响应文件中对重要响应条款存在负偏离或未响应得，则将视为投标无效。</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2、</w:t>
      </w:r>
      <w:r>
        <w:rPr>
          <w:rFonts w:hint="eastAsia"/>
        </w:rPr>
        <w:t>标注“</w:t>
      </w:r>
      <w:r>
        <w:rPr>
          <w:rFonts w:hint="eastAsia" w:asciiTheme="minorEastAsia" w:hAnsiTheme="minorEastAsia"/>
        </w:rPr>
        <w:t>▲</w:t>
      </w:r>
      <w:r>
        <w:rPr>
          <w:rFonts w:hint="eastAsia"/>
        </w:rPr>
        <w:t>”号条款为重要评分条款，如响应文件中对重要评分条款存在负偏离或未响应的，将导致其技术评审严重扣分。</w:t>
      </w:r>
    </w:p>
    <w:p>
      <w:pPr>
        <w:spacing w:line="360" w:lineRule="auto"/>
        <w:rPr>
          <w:b/>
        </w:rPr>
      </w:pPr>
      <w:r>
        <w:rPr>
          <w:b/>
        </w:rPr>
        <w:t>一、项目基本要求</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3、</w:t>
      </w:r>
      <w:r>
        <w:rPr>
          <w:rFonts w:hint="eastAsia"/>
        </w:rPr>
        <w:t>项目名称：中山市小榄人民医院电类材料协议供货（一年）</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4、</w:t>
      </w:r>
      <w:r>
        <w:rPr>
          <w:rFonts w:hint="eastAsia"/>
        </w:rPr>
        <w:t>项目预算：¥2</w:t>
      </w:r>
      <w:r>
        <w:t>2</w:t>
      </w:r>
      <w:r>
        <w:rPr>
          <w:rFonts w:hint="eastAsia"/>
        </w:rPr>
        <w:t>0000.00元</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5、</w:t>
      </w:r>
      <w:r>
        <w:rPr>
          <w:rFonts w:hint="eastAsia"/>
        </w:rPr>
        <w:t>未经采购人同意，成交供应商不得以任何方式转包或分包本项目。</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6、</w:t>
      </w:r>
      <w:r>
        <w:rPr>
          <w:rFonts w:hint="eastAsia"/>
        </w:rPr>
        <w:t>如果在供货、安装、调试、培训等工作中出现的任何遗漏，均由成交供应商负责，采购人将不再支付任何费用。</w:t>
      </w:r>
    </w:p>
    <w:p>
      <w:pPr>
        <w:pStyle w:val="19"/>
        <w:numPr>
          <w:ilvl w:val="0"/>
          <w:numId w:val="0"/>
        </w:numPr>
        <w:spacing w:line="300" w:lineRule="auto"/>
        <w:ind w:left="0" w:leftChars="0" w:firstLine="420" w:firstLineChars="200"/>
        <w:rPr>
          <w:rFonts w:ascii="宋体" w:hAnsi="宋体" w:cs="宋体"/>
          <w:szCs w:val="21"/>
        </w:rPr>
      </w:pPr>
      <w:r>
        <w:rPr>
          <w:rFonts w:hint="default" w:ascii="宋体" w:hAnsi="宋体" w:eastAsia="宋体" w:cs="宋体"/>
          <w:color w:val="auto"/>
          <w:kern w:val="2"/>
          <w:sz w:val="21"/>
          <w:szCs w:val="21"/>
          <w:lang w:val="en-US" w:eastAsia="zh-CN" w:bidi="ar-SA"/>
        </w:rPr>
        <w:t>7、</w:t>
      </w:r>
      <w:r>
        <w:rPr>
          <w:rFonts w:hint="eastAsia"/>
        </w:rPr>
        <w:t>本项目自合同签订之日起，协议供货时间为</w:t>
      </w:r>
      <w:r>
        <w:rPr>
          <w:rFonts w:hint="eastAsia"/>
          <w:b/>
          <w:bCs/>
          <w:u w:val="single"/>
        </w:rPr>
        <w:t>1</w:t>
      </w:r>
      <w:r>
        <w:rPr>
          <w:rFonts w:hint="eastAsia"/>
        </w:rPr>
        <w:t>年。本次采购为协议供货资格的取得，并不代表货物已售出，采购人无法预计也无法保证向成交供应商的品种及数量。采购人按照本单位使用情况下单所需物品数量，成交供应商不得对采购人所采购物品数量作要求或质疑。项目以协议供货期限到期或采购累计金额达到项目预算金额为结束时间点（按先达到的为准）。</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8、</w:t>
      </w:r>
      <w:r>
        <w:rPr>
          <w:rFonts w:hint="eastAsia" w:asciiTheme="minorEastAsia" w:hAnsiTheme="minorEastAsia"/>
        </w:rPr>
        <w:t>★</w:t>
      </w:r>
      <w:r>
        <w:rPr>
          <w:rFonts w:hint="eastAsia" w:ascii="宋体" w:hAnsi="宋体" w:cs="宋体"/>
          <w:szCs w:val="21"/>
        </w:rPr>
        <w:t>在供货期内，如个别产品遇到停产情况</w:t>
      </w:r>
      <w:r>
        <w:t>或难以寻找货源</w:t>
      </w:r>
      <w:r>
        <w:rPr>
          <w:rFonts w:hint="eastAsia" w:ascii="宋体" w:hAnsi="宋体" w:cs="宋体"/>
          <w:szCs w:val="21"/>
        </w:rPr>
        <w:t>的，</w:t>
      </w:r>
      <w:r>
        <w:t>成交供应商应优先寻找市面上同品牌同型号的货物供应，若在市面上已无货源供应，</w:t>
      </w:r>
      <w:r>
        <w:rPr>
          <w:rFonts w:hint="eastAsia" w:ascii="宋体" w:hAnsi="宋体" w:cs="宋体"/>
          <w:szCs w:val="21"/>
        </w:rPr>
        <w:t>成交供应商需提前15天书面告知采购人并经采购人同意后，提供等同于或优于原参数的产品供采购人使用，不得断供，否则视为成交供应商违约。（如遇紧急情况，供货时间由成交供应商与采购人双方协商确定）</w:t>
      </w:r>
    </w:p>
    <w:p>
      <w:pPr>
        <w:pStyle w:val="19"/>
        <w:numPr>
          <w:ilvl w:val="0"/>
          <w:numId w:val="0"/>
        </w:numPr>
        <w:spacing w:line="300" w:lineRule="auto"/>
        <w:ind w:left="0" w:leftChars="0" w:firstLine="420" w:firstLineChars="200"/>
        <w:rPr>
          <w:rFonts w:ascii="宋体" w:hAnsi="宋体" w:cs="宋体"/>
          <w:szCs w:val="21"/>
        </w:rPr>
      </w:pPr>
      <w:r>
        <w:rPr>
          <w:rFonts w:hint="default" w:ascii="宋体" w:hAnsi="宋体" w:eastAsia="宋体" w:cs="宋体"/>
          <w:color w:val="auto"/>
          <w:kern w:val="2"/>
          <w:sz w:val="21"/>
          <w:szCs w:val="21"/>
          <w:lang w:val="en-US" w:eastAsia="zh-CN" w:bidi="ar-SA"/>
        </w:rPr>
        <w:t>9、</w:t>
      </w:r>
      <w:r>
        <w:rPr>
          <w:rFonts w:hint="eastAsia" w:asciiTheme="minorEastAsia" w:hAnsiTheme="minorEastAsia"/>
        </w:rPr>
        <w:t>★</w:t>
      </w:r>
      <w:r>
        <w:rPr>
          <w:rFonts w:hint="eastAsia" w:ascii="宋体" w:hAnsi="宋体" w:cs="宋体"/>
          <w:szCs w:val="21"/>
        </w:rPr>
        <w:t>具有独立承担民事责任的能力：在中华人民共和国境内注册的法人或其他组织或自然人， 投标（响应）时提交有效的营业执照（或事业法人登记证或身份证等相关证明） 副本复印件。分公司投标的，须提供总公司和分公司营业执照副本复印件，总公司出具给分公司的授权书。</w:t>
      </w:r>
    </w:p>
    <w:p>
      <w:pPr>
        <w:spacing w:line="360" w:lineRule="auto"/>
        <w:rPr>
          <w:b/>
        </w:rPr>
      </w:pPr>
      <w:r>
        <w:rPr>
          <w:rFonts w:hint="eastAsia"/>
          <w:b/>
        </w:rPr>
        <w:t>二、项目采购清单（报价含税）</w:t>
      </w: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87"/>
        <w:gridCol w:w="2705"/>
        <w:gridCol w:w="1377"/>
        <w:gridCol w:w="137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14"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序号</w:t>
            </w: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名称</w:t>
            </w:r>
          </w:p>
        </w:tc>
        <w:tc>
          <w:tcPr>
            <w:tcW w:w="2705"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优于或相当于以下同等档次品牌</w:t>
            </w:r>
          </w:p>
        </w:tc>
        <w:tc>
          <w:tcPr>
            <w:tcW w:w="1377"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单价上限值（元）</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 20A 25A 32A 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129.00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 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270.00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 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112.00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128.00</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33.00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37.00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67.00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147.80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126.40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106.50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106.50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96.80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160.80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193.70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137.70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133.30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CVS 160A空气开关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3*160A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730.00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CVS空气开关</w:t>
            </w:r>
          </w:p>
        </w:tc>
        <w:tc>
          <w:tcPr>
            <w:tcW w:w="2705"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3*63A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515.00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 20A 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84.00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C65N3P空气开关</w:t>
            </w:r>
          </w:p>
        </w:tc>
        <w:tc>
          <w:tcPr>
            <w:tcW w:w="2705"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25A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131.00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大板一位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大板二位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大板三位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大板四位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大板一位双联</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21.50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微动开关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行程开关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氧气瓶开关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门铃开关</w:t>
            </w:r>
          </w:p>
        </w:tc>
        <w:tc>
          <w:tcPr>
            <w:tcW w:w="2705" w:type="dxa"/>
            <w:shd w:val="clear" w:color="auto" w:fill="auto"/>
            <w:noWrap/>
            <w:vAlign w:val="center"/>
          </w:tcPr>
          <w:p>
            <w:pPr>
              <w:jc w:val="center"/>
              <w:rPr>
                <w:rFonts w:cs="宋体" w:asciiTheme="minorEastAsia" w:hAnsiTheme="minorEastAsia"/>
                <w:color w:val="auto"/>
                <w:szCs w:val="21"/>
              </w:rPr>
            </w:pPr>
            <w:r>
              <w:rPr>
                <w:rFonts w:cs="宋体" w:asciiTheme="minorEastAsia" w:hAnsiTheme="minorEastAsia"/>
                <w:color w:val="auto"/>
                <w:szCs w:val="21"/>
              </w:rPr>
              <w:t>公牛或</w:t>
            </w:r>
            <w:r>
              <w:rPr>
                <w:rFonts w:hint="eastAsia" w:cs="宋体" w:asciiTheme="minorEastAsia" w:hAnsiTheme="minorEastAsia"/>
                <w:color w:val="auto"/>
                <w:szCs w:val="21"/>
              </w:rPr>
              <w:t>德力西或施耐德</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轻触开关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4针节能管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2U 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7W 8W 9W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26.30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25W 45W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4U 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LED6寸筒灯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9W 15W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LED筒灯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LED投光灯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LED投光灯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220W/220V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LED平板灯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30*30</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LED平板灯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60*60</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LED路灯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路灯杆</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LED球灯泡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LED强力探照灯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充电款</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174.00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LED灯盘灯带</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天花面灯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外框厚10mm，侧面发光</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170.00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透光灯片</w:t>
            </w:r>
          </w:p>
        </w:tc>
        <w:tc>
          <w:tcPr>
            <w:tcW w:w="2705" w:type="dxa"/>
            <w:shd w:val="clear" w:color="auto" w:fill="auto"/>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德固赛或绿川或瑞昌</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亚克力</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吸顶灯光源</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指示灯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正泰或德力西</w:t>
            </w:r>
            <w:r>
              <w:rPr>
                <w:rFonts w:hint="eastAsia" w:cs="宋体" w:asciiTheme="minorEastAsia" w:hAnsiTheme="minorEastAsia"/>
                <w:color w:val="auto"/>
                <w:szCs w:val="21"/>
              </w:rPr>
              <w:t>或欧姆龙</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24V、220V、380V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警示灯牌</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正泰或德力西</w:t>
            </w:r>
            <w:r>
              <w:rPr>
                <w:rFonts w:hint="eastAsia" w:cs="宋体" w:asciiTheme="minorEastAsia" w:hAnsiTheme="minorEastAsia"/>
                <w:color w:val="auto"/>
                <w:szCs w:val="21"/>
              </w:rPr>
              <w:t>或欧姆龙</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灯头</w:t>
            </w:r>
          </w:p>
        </w:tc>
        <w:tc>
          <w:tcPr>
            <w:tcW w:w="2705" w:type="dxa"/>
            <w:shd w:val="clear" w:color="auto" w:fill="auto"/>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创亿或拉伯塔或公牛</w:t>
            </w:r>
          </w:p>
        </w:tc>
        <w:tc>
          <w:tcPr>
            <w:tcW w:w="1377" w:type="dxa"/>
            <w:shd w:val="clear" w:color="auto" w:fill="auto"/>
            <w:noWrap/>
            <w:vAlign w:val="center"/>
          </w:tcPr>
          <w:p>
            <w:pPr>
              <w:jc w:val="center"/>
              <w:rPr>
                <w:rFonts w:cs="宋体" w:asciiTheme="minorEastAsia" w:hAnsiTheme="minorEastAsia"/>
                <w:color w:val="auto"/>
                <w:szCs w:val="21"/>
              </w:rPr>
            </w:pPr>
            <w:r>
              <w:rPr>
                <w:rFonts w:asciiTheme="minorEastAsia" w:hAnsiTheme="minorEastAsia"/>
                <w:color w:val="auto"/>
                <w:szCs w:val="21"/>
              </w:rPr>
              <w:t>E27</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灯珠</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24V  100W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灯座</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创亿或拉伯塔或公牛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T8 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18W 36W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T8 LED 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8W 16W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T5 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14W-28W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T5 支架</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24W-28W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15W 18W 20W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光管支架脚</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松日</w:t>
            </w:r>
            <w:r>
              <w:rPr>
                <w:rFonts w:hint="eastAsia" w:cs="宋体" w:asciiTheme="minorEastAsia" w:hAnsiTheme="minorEastAsia"/>
                <w:color w:val="auto"/>
                <w:szCs w:val="21"/>
              </w:rPr>
              <w:t>或</w:t>
            </w:r>
            <w:r>
              <w:rPr>
                <w:rFonts w:hint="eastAsia" w:asciiTheme="minorEastAsia" w:hAnsiTheme="minorEastAsia"/>
                <w:color w:val="auto"/>
                <w:szCs w:val="21"/>
              </w:rPr>
              <w:t>佛山照明</w:t>
            </w:r>
            <w:r>
              <w:rPr>
                <w:rFonts w:hint="eastAsia" w:cs="宋体" w:asciiTheme="minorEastAsia" w:hAnsiTheme="minorEastAsia"/>
                <w:color w:val="auto"/>
                <w:szCs w:val="21"/>
              </w:rPr>
              <w:t>或</w:t>
            </w:r>
            <w:r>
              <w:rPr>
                <w:rFonts w:hint="eastAsia" w:asciiTheme="minorEastAsia" w:hAnsiTheme="minorEastAsia"/>
                <w:color w:val="auto"/>
                <w:szCs w:val="21"/>
              </w:rPr>
              <w:t>欧普照明</w:t>
            </w:r>
          </w:p>
        </w:tc>
        <w:tc>
          <w:tcPr>
            <w:tcW w:w="1377" w:type="dxa"/>
            <w:shd w:val="clear" w:color="auto" w:fill="auto"/>
            <w:noWrap/>
            <w:vAlign w:val="center"/>
          </w:tcPr>
          <w:p>
            <w:pPr>
              <w:jc w:val="center"/>
              <w:rPr>
                <w:rFonts w:cs="宋体" w:asciiTheme="minorEastAsia" w:hAnsiTheme="minorEastAsia"/>
                <w:color w:val="auto"/>
                <w:szCs w:val="21"/>
              </w:rPr>
            </w:pPr>
            <w:r>
              <w:rPr>
                <w:rFonts w:asciiTheme="minorEastAsia" w:hAnsiTheme="minorEastAsia"/>
                <w:color w:val="auto"/>
                <w:szCs w:val="21"/>
              </w:rPr>
              <w:t>T</w:t>
            </w:r>
            <w:r>
              <w:rPr>
                <w:rFonts w:hint="eastAsia" w:asciiTheme="minorEastAsia" w:hAnsiTheme="minorEastAsia"/>
                <w:color w:val="auto"/>
                <w:szCs w:val="21"/>
              </w:rPr>
              <w:t>8</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T4 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14W-28W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T5电子镇流器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1*14W/1*28W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32.70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T8电子镇流器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36.20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电感镇流器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继电器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正泰或德力西或施耐德</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12V 24V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起辉器</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起辉器底座</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熔断器</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熔断器底座</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开孔器</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8MM  10MM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集成</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保险管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硅胶管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黄立管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10厘-25厘</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耐高温软管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10.10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气管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盘管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6分/25*1.8</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气管接头</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气管直通</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热收缩管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4厘 6厘</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铜管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铜管接头</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铜管接头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110mm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紫外线灯管</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雷士</w:t>
            </w:r>
            <w:r>
              <w:rPr>
                <w:rFonts w:hint="eastAsia" w:cs="宋体" w:asciiTheme="minorEastAsia" w:hAnsiTheme="minorEastAsia"/>
                <w:color w:val="auto"/>
                <w:szCs w:val="21"/>
              </w:rPr>
              <w:t>或</w:t>
            </w:r>
            <w:r>
              <w:rPr>
                <w:rFonts w:hint="eastAsia" w:asciiTheme="minorEastAsia" w:hAnsiTheme="minorEastAsia"/>
                <w:color w:val="auto"/>
                <w:szCs w:val="21"/>
              </w:rPr>
              <w:t>飞利浦</w:t>
            </w:r>
            <w:r>
              <w:rPr>
                <w:rFonts w:hint="eastAsia" w:cs="宋体" w:asciiTheme="minorEastAsia" w:hAnsiTheme="minorEastAsia"/>
                <w:color w:val="auto"/>
                <w:szCs w:val="21"/>
              </w:rPr>
              <w:t>或</w:t>
            </w:r>
            <w:r>
              <w:rPr>
                <w:rFonts w:hint="eastAsia" w:asciiTheme="minorEastAsia" w:hAnsiTheme="minorEastAsia"/>
                <w:color w:val="auto"/>
                <w:szCs w:val="21"/>
              </w:rPr>
              <w:t>雪莱特</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20W 80W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4分</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6分</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236.00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346.00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499.70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双色地线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双色地线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双色地线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阻燃电线</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35平方</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3400.00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10A 插头线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国标3C安全认证</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表检测线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胜利</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德力西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电源线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国标3C安全认证</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两插  三插</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耐高温线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国标AGR耐高温线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连接线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国标AGR耐高温线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3.8元/条</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单支电线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4.1元/米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护套电线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德力西</w:t>
            </w:r>
            <w:r>
              <w:rPr>
                <w:rFonts w:hint="eastAsia" w:cs="宋体" w:asciiTheme="minorEastAsia" w:hAnsiTheme="minorEastAsia"/>
                <w:color w:val="auto"/>
                <w:szCs w:val="21"/>
              </w:rPr>
              <w:t>或</w:t>
            </w:r>
            <w:r>
              <w:rPr>
                <w:rFonts w:hint="eastAsia" w:asciiTheme="minorEastAsia" w:hAnsiTheme="minorEastAsia"/>
                <w:color w:val="auto"/>
                <w:szCs w:val="21"/>
              </w:rPr>
              <w:t>珠江电缆</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线槽</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线槽</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39mm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21.50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四位拖线插座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3米线长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77.50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四位拖线插座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5米线长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85.50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六位拖线插座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3米线长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101.50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二三插座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带开关二三插座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单底盒</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创亿或公牛或国际电工</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双底盒</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创亿或公牛或国际电工</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三位底盒</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创亿或公牛或国际电工</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单防水盒</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双防水盒</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创亿</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防水接线盒</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创亿</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底盒修复器</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电池盒</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通用防水</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SM插头</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定时控制器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正泰或上海卓一或德力西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86型</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时控开关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正泰或上海卓一或得力西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86型</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时间继电器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正泰或上海卓一或得力西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排气扇</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排气扇</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管道排气扇</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壁扇</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美的或格力或金铃</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网风扇</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20*20/电柜散热扇</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楼底风扇电机</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标准规格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4-6位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7-9位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10-13位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14-16位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电工胶带</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3M或德力西或公牛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耐高温电工胶布</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3M或德力西或公牛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电容</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国标阻燃</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2uf-3.5uf</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圆形电容</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国标阻燃</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2uf-3.5uf</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定位胶轮</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不锈钢焊条</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金桥、大桥、申嘉</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不锈钢喉箍</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304不锈钢</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不锈钢扎箍</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304不锈钢</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3寸 4寸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不锈钢钻嘴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4# 5# 6# 8# 10# 12# 14# 16#</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不锈钢接头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highlight w:val="yellow"/>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718.00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1562.00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3*2.5平方/33米线（16A漏电保护）</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696.00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3*2.5平方/30米线（16A漏电保护）</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3*2.5平方/45米线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3*2.5平方/40米线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840.00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3*2.5平方/50米线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潜水泵</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1.1KW/220v/380V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冷热水管道增压泵</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370W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1020.00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管道泵</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550W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专用排气扇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BE-1213C</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167.00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w:t>
            </w:r>
            <w:r>
              <w:rPr>
                <w:rFonts w:asciiTheme="minorEastAsia" w:hAnsiTheme="minorEastAsia"/>
                <w:color w:val="auto"/>
                <w:szCs w:val="21"/>
              </w:rPr>
              <w:t>B</w:t>
            </w:r>
            <w:r>
              <w:rPr>
                <w:rFonts w:hint="eastAsia" w:asciiTheme="minorEastAsia" w:hAnsiTheme="minorEastAsia"/>
                <w:color w:val="auto"/>
                <w:szCs w:val="21"/>
              </w:rPr>
              <w:t>NN贝莱尔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专用排气扇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BC-1618</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金属天花管道换气扇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BA-1880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1660.00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LED超薄平板灯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60cmX60cm 60W</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14</w:t>
            </w:r>
            <w:r>
              <w:rPr>
                <w:rFonts w:hint="eastAsia" w:asciiTheme="minorEastAsia" w:hAnsiTheme="minorEastAsia"/>
                <w:color w:val="auto"/>
                <w:szCs w:val="21"/>
              </w:rPr>
              <w:t>6.50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JCZ1-160A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315.00</w:t>
            </w:r>
          </w:p>
        </w:tc>
        <w:tc>
          <w:tcPr>
            <w:tcW w:w="1217" w:type="dxa"/>
            <w:vMerge w:val="restart"/>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现有在用品牌华城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JCZ2-250A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866.00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JCZ4-400A</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18</w:t>
            </w:r>
            <w:r>
              <w:rPr>
                <w:rFonts w:hint="eastAsia" w:asciiTheme="minorEastAsia" w:hAnsiTheme="minorEastAsia"/>
                <w:color w:val="auto"/>
                <w:szCs w:val="21"/>
              </w:rPr>
              <w:t>00.00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JCZ6-630A</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22</w:t>
            </w:r>
            <w:r>
              <w:rPr>
                <w:rFonts w:hint="eastAsia" w:asciiTheme="minorEastAsia" w:hAnsiTheme="minorEastAsia"/>
                <w:color w:val="auto"/>
                <w:szCs w:val="21"/>
              </w:rPr>
              <w:t>62.00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电容接触器（专用件）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LC1 DPK12M7C</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598.00</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LED平板灯电源</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60W/220V</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4</w:t>
            </w:r>
            <w:r>
              <w:rPr>
                <w:rFonts w:hint="eastAsia" w:asciiTheme="minorEastAsia" w:hAnsiTheme="minorEastAsia"/>
                <w:color w:val="auto"/>
                <w:szCs w:val="21"/>
              </w:rPr>
              <w:t>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感应龙头配件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鹰牌或克劳迪或九牧</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红外探头</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12.00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感应龙头配件</w:t>
            </w:r>
          </w:p>
        </w:tc>
        <w:tc>
          <w:tcPr>
            <w:tcW w:w="2705" w:type="dxa"/>
            <w:shd w:val="clear" w:color="auto" w:fill="auto"/>
            <w:vAlign w:val="center"/>
          </w:tcPr>
          <w:p>
            <w:pPr>
              <w:jc w:val="center"/>
              <w:rPr>
                <w:color w:val="auto"/>
              </w:rPr>
            </w:pPr>
            <w:r>
              <w:rPr>
                <w:rFonts w:hint="eastAsia" w:asciiTheme="minorEastAsia" w:hAnsiTheme="minorEastAsia"/>
                <w:color w:val="auto"/>
                <w:szCs w:val="21"/>
              </w:rPr>
              <w:t>鹰牌或克劳迪或九牧</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电磁阀</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感应龙头配件</w:t>
            </w:r>
          </w:p>
        </w:tc>
        <w:tc>
          <w:tcPr>
            <w:tcW w:w="2705" w:type="dxa"/>
            <w:shd w:val="clear" w:color="auto" w:fill="auto"/>
            <w:vAlign w:val="center"/>
          </w:tcPr>
          <w:p>
            <w:pPr>
              <w:jc w:val="center"/>
              <w:rPr>
                <w:color w:val="auto"/>
              </w:rPr>
            </w:pPr>
            <w:r>
              <w:rPr>
                <w:rFonts w:hint="eastAsia" w:asciiTheme="minorEastAsia" w:hAnsiTheme="minorEastAsia"/>
                <w:color w:val="auto"/>
                <w:szCs w:val="21"/>
              </w:rPr>
              <w:t>鹰牌或克劳迪或九牧</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控制主板</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14.00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铜电子阀</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4分</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节能灯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4U85W-E27</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96.00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LED灯盘</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w:t>
            </w:r>
            <w:r>
              <w:rPr>
                <w:rFonts w:asciiTheme="minorEastAsia" w:hAnsiTheme="minorEastAsia"/>
                <w:color w:val="auto"/>
                <w:szCs w:val="21"/>
              </w:rPr>
              <w:t>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按压式卡锁扣</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国际规格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0</w:t>
            </w:r>
            <w:r>
              <w:rPr>
                <w:rFonts w:asciiTheme="minorEastAsia" w:hAnsiTheme="minorEastAsia"/>
                <w:color w:val="auto"/>
                <w:szCs w:val="21"/>
              </w:rPr>
              <w:t>.96</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插头</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w:t>
            </w:r>
            <w:r>
              <w:rPr>
                <w:rFonts w:asciiTheme="minorEastAsia" w:hAnsiTheme="minorEastAsia"/>
                <w:color w:val="auto"/>
                <w:szCs w:val="21"/>
              </w:rPr>
              <w:t>.00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平板灯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LED60*60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热继电器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正泰或德力西或施耐德</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13-21A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30.00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接线端子</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w:t>
            </w:r>
            <w:r>
              <w:rPr>
                <w:rFonts w:asciiTheme="minorEastAsia" w:hAnsiTheme="minorEastAsia"/>
                <w:color w:val="auto"/>
                <w:szCs w:val="21"/>
              </w:rPr>
              <w:t>.80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水枪</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w:t>
            </w:r>
            <w:r>
              <w:rPr>
                <w:rFonts w:asciiTheme="minorEastAsia" w:hAnsiTheme="minorEastAsia"/>
                <w:color w:val="auto"/>
                <w:szCs w:val="21"/>
              </w:rPr>
              <w:t>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水位继电器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正泰或德力西或施耐德</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弯头</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1寸</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直通</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w:t>
            </w:r>
            <w:r>
              <w:rPr>
                <w:rFonts w:asciiTheme="minorEastAsia" w:hAnsiTheme="minorEastAsia"/>
                <w:color w:val="auto"/>
                <w:szCs w:val="21"/>
              </w:rPr>
              <w:t>.00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扳手</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10寸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w:t>
            </w:r>
            <w:r>
              <w:rPr>
                <w:rFonts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LED筒灯驱动器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9W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全铜通用锁</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w:t>
            </w:r>
            <w:r>
              <w:rPr>
                <w:rFonts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胶塞</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6厘</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线槽配件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0.60/个</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保护器</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45.00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脚线</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光管插脚线1.2米</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w:t>
            </w:r>
            <w:r>
              <w:rPr>
                <w:rFonts w:asciiTheme="minorEastAsia" w:hAnsiTheme="minorEastAsia"/>
                <w:color w:val="auto"/>
                <w:szCs w:val="21"/>
              </w:rPr>
              <w:t>.50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散热风机</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正泰或中意或德力西</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170*150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散热风机</w:t>
            </w:r>
          </w:p>
        </w:tc>
        <w:tc>
          <w:tcPr>
            <w:tcW w:w="2705" w:type="dxa"/>
            <w:shd w:val="clear" w:color="auto" w:fill="auto"/>
            <w:vAlign w:val="center"/>
          </w:tcPr>
          <w:p>
            <w:pPr>
              <w:jc w:val="center"/>
              <w:rPr>
                <w:rFonts w:asciiTheme="minorEastAsia" w:hAnsiTheme="minorEastAsia"/>
                <w:b/>
                <w:color w:val="auto"/>
                <w:szCs w:val="21"/>
              </w:rPr>
            </w:pPr>
            <w:r>
              <w:rPr>
                <w:rFonts w:hint="eastAsia" w:asciiTheme="minorEastAsia" w:hAnsiTheme="minorEastAsia"/>
                <w:color w:val="auto"/>
                <w:szCs w:val="21"/>
              </w:rPr>
              <w:t>正泰或中意或德力西</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350*350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108.00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LC1E1801Q5N 220V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LC1E1801Q5N 380V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70.00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LC1N3210M5N 380V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91.00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LC1N3210M5N 220V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动力负荷空气开关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D100 3P</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斜流增压管道风机</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鸿冠或绿岛风或金铃</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HF-200P</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390.00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面板灯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佛山照明或欧普或三雄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YXDP60X60-LED36W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220V /100A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气枪</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测试器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电柜旋钮开关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三档</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门铰</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不锈钢</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地板胶布</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电箱锁弯勾</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高压绝缘鞋、手套</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星工或霍尼韦尔或金能电力</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带检测</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b/>
                <w:color w:val="auto"/>
                <w:szCs w:val="21"/>
              </w:rPr>
            </w:pPr>
            <w:r>
              <w:rPr>
                <w:rFonts w:hint="eastAsia" w:asciiTheme="minorEastAsia" w:hAnsiTheme="minorEastAsia"/>
                <w:color w:val="auto"/>
                <w:szCs w:val="21"/>
              </w:rPr>
              <w:t>不锈钢浮球</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1/四分一</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面板</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空白板</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防爆灯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1.2米</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267.00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防爆灯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吊式，LED42W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156.00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防爆平板灯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600*600，LED45W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斜口钳</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75.00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锡丝</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175.00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LED充电筒</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沃尔森或神火或飞利浦</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带侧灯</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154.00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风扇电机</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电箱锁</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三极扁插座</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16A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15.60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电工刀</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活接</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排污泵</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2.2KW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内六角扳手</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12厘</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穿线带</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国际规格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2.20/米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电流表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正泰或中意或德力西</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数显式</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电源适配器</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华为或航嘉或台达</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12V 1A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路灯铁臂</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国际规格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净水滤芯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QR-R005</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1400.00</w:t>
            </w:r>
          </w:p>
        </w:tc>
        <w:tc>
          <w:tcPr>
            <w:tcW w:w="121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现有在用品牌</w:t>
            </w:r>
            <w:r>
              <w:rPr>
                <w:rFonts w:hint="eastAsia" w:asciiTheme="minorEastAsia" w:hAnsiTheme="minorEastAsia"/>
                <w:color w:val="auto"/>
                <w:szCs w:val="21"/>
              </w:rPr>
              <w:t>沁园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楼底扇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加热棒</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12KW，60cm</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390.00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30W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99.00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50W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113.00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100W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200W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多功能电能表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PMAC600B-W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1760.00</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现有在用品牌派诺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抽屉式开关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250A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1884.00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抽屉式开关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400A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2290.00</w:t>
            </w:r>
          </w:p>
        </w:tc>
        <w:tc>
          <w:tcPr>
            <w:tcW w:w="1217" w:type="dxa"/>
            <w:vMerge w:val="continue"/>
            <w:shd w:val="clear" w:color="auto" w:fill="auto"/>
            <w:noWrap/>
            <w:vAlign w:val="center"/>
          </w:tcPr>
          <w:p>
            <w:pPr>
              <w:jc w:val="center"/>
              <w:rPr>
                <w:rFonts w:asciiTheme="minorEastAsia" w:hAnsiTheme="minorEastAsia"/>
                <w:color w:val="auto"/>
                <w:szCs w:val="21"/>
              </w:rPr>
            </w:pPr>
          </w:p>
        </w:tc>
      </w:tr>
    </w:tbl>
    <w:p>
      <w:pPr>
        <w:spacing w:line="360" w:lineRule="auto"/>
        <w:rPr>
          <w:b/>
        </w:rPr>
      </w:pPr>
      <w:r>
        <w:rPr>
          <w:b/>
        </w:rPr>
        <w:t>三、货物产地及标准</w:t>
      </w:r>
    </w:p>
    <w:p>
      <w:pPr>
        <w:pStyle w:val="19"/>
        <w:numPr>
          <w:ilvl w:val="0"/>
          <w:numId w:val="7"/>
        </w:numPr>
        <w:spacing w:line="360" w:lineRule="auto"/>
        <w:ind w:left="0" w:firstLine="420"/>
      </w:pPr>
      <w:r>
        <w:rPr>
          <w:rFonts w:hint="eastAsia"/>
        </w:rPr>
        <w:t>成交供应商应提供已注册品牌制造商原装、全新、符合国家及采购人提出的有关质量标准的产品。</w:t>
      </w:r>
    </w:p>
    <w:p>
      <w:pPr>
        <w:pStyle w:val="19"/>
        <w:numPr>
          <w:ilvl w:val="0"/>
          <w:numId w:val="7"/>
        </w:numPr>
        <w:spacing w:line="360" w:lineRule="auto"/>
        <w:ind w:left="0" w:firstLine="420"/>
      </w:pPr>
      <w:r>
        <w:rPr>
          <w:rFonts w:hint="eastAsia"/>
        </w:rPr>
        <w:t>所有货物在开箱检验时必须完好，无破损，配置与装箱单相符。</w:t>
      </w:r>
    </w:p>
    <w:p>
      <w:pPr>
        <w:pStyle w:val="19"/>
        <w:numPr>
          <w:ilvl w:val="0"/>
          <w:numId w:val="7"/>
        </w:numPr>
        <w:spacing w:line="360" w:lineRule="auto"/>
        <w:ind w:left="0" w:firstLine="420"/>
      </w:pPr>
      <w:r>
        <w:rPr>
          <w:rFonts w:hint="eastAsia"/>
        </w:rPr>
        <w:t>漏电附件、漏电开关、空气开关等产品提供制造商出具的合格证等质量证明文件。出厂合格证，序列号、包装箱号与出厂批号一致，并可追索查阅，所有随产品的附件必须齐全。</w:t>
      </w:r>
    </w:p>
    <w:p>
      <w:pPr>
        <w:pStyle w:val="19"/>
        <w:numPr>
          <w:ilvl w:val="0"/>
          <w:numId w:val="7"/>
        </w:numPr>
        <w:spacing w:line="360" w:lineRule="auto"/>
        <w:ind w:left="0" w:firstLine="420"/>
      </w:pPr>
      <w:r>
        <w:rPr>
          <w:rFonts w:hint="eastAsia" w:asciiTheme="minorEastAsia" w:hAnsiTheme="minorEastAsia"/>
        </w:rPr>
        <w:t>★成交供应商所提供产品的性能、配置参数等不能低于磋商文件所提出的要求。</w:t>
      </w:r>
    </w:p>
    <w:p>
      <w:pPr>
        <w:pStyle w:val="19"/>
        <w:numPr>
          <w:ilvl w:val="0"/>
          <w:numId w:val="7"/>
        </w:numPr>
        <w:spacing w:line="360" w:lineRule="auto"/>
        <w:ind w:left="0" w:firstLine="420"/>
      </w:pPr>
      <w:r>
        <w:rPr>
          <w:rFonts w:hint="eastAsia" w:asciiTheme="minorEastAsia" w:hAnsiTheme="minorEastAsia"/>
        </w:rPr>
        <w:t>★若成交供应商提供的货物因无法匹配配电房及各区电井的需求而导致的任何事故，全部责任及损失均由成交供应商自行负责，采购人有权单方终止合同。</w:t>
      </w:r>
    </w:p>
    <w:p>
      <w:pPr>
        <w:spacing w:line="360" w:lineRule="auto"/>
        <w:rPr>
          <w:b/>
        </w:rPr>
      </w:pPr>
      <w:r>
        <w:rPr>
          <w:rFonts w:hint="eastAsia"/>
          <w:b/>
        </w:rPr>
        <w:t>四、包装、装卸、运输、保管及保险</w:t>
      </w:r>
    </w:p>
    <w:p>
      <w:pPr>
        <w:spacing w:line="360" w:lineRule="auto"/>
        <w:ind w:firstLine="420" w:firstLineChars="200"/>
        <w:rPr>
          <w:rFonts w:ascii="宋体" w:hAnsi="宋体" w:cs="宋体"/>
          <w:szCs w:val="21"/>
        </w:rPr>
      </w:pPr>
      <w:r>
        <w:rPr>
          <w:rFonts w:hint="eastAsia" w:ascii="宋体" w:hAnsi="宋体" w:cs="宋体"/>
          <w:szCs w:val="21"/>
        </w:rPr>
        <w:t>1、成交供应商所供货物包装质量必须符合国家相关标准，货物的包装均应有良好的防锈、防腐的措施，货物要求有包装保护运至现场。凡由于包装不良造成的损失和由此产生的费用均由成交供应商承担。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2、成交供应商负责根据用户指定的地点，将货物送到现场过程中的全部运输，包括装卸车、货物现场的搬运，由此产生的费用均由成交供应商承担。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3、如货物运输过程中因事故造成货物短缺、损坏，成交供应商应及时安排换货，以保证合同货物及时交付，换货的相关费用由成交供应商承担。</w:t>
      </w:r>
    </w:p>
    <w:p>
      <w:pPr>
        <w:spacing w:line="360" w:lineRule="auto"/>
        <w:ind w:firstLine="420" w:firstLineChars="200"/>
        <w:rPr>
          <w:rFonts w:ascii="宋体" w:hAnsi="宋体" w:cs="宋体"/>
          <w:szCs w:val="21"/>
        </w:rPr>
      </w:pPr>
      <w:r>
        <w:rPr>
          <w:rFonts w:hint="eastAsia" w:ascii="宋体" w:hAnsi="宋体" w:cs="宋体"/>
          <w:szCs w:val="21"/>
        </w:rPr>
        <w:t>4、货物的质量保险由成交供应商负责，成交供应商负责其派出的现场服务人员人身意外保险。</w:t>
      </w:r>
    </w:p>
    <w:p>
      <w:pPr>
        <w:spacing w:line="360" w:lineRule="auto"/>
        <w:rPr>
          <w:b/>
        </w:rPr>
      </w:pPr>
      <w:r>
        <w:rPr>
          <w:rFonts w:hint="eastAsia"/>
          <w:b/>
        </w:rPr>
        <w:t>五、验收</w:t>
      </w:r>
    </w:p>
    <w:p>
      <w:pPr>
        <w:pStyle w:val="19"/>
        <w:numPr>
          <w:ilvl w:val="0"/>
          <w:numId w:val="8"/>
        </w:numPr>
        <w:spacing w:line="360" w:lineRule="auto"/>
        <w:ind w:left="0" w:firstLine="420"/>
      </w:pPr>
      <w:r>
        <w:rPr>
          <w:rFonts w:hint="eastAsia"/>
        </w:rPr>
        <w:t>成交供应商将货物送货至采购人指定地点后，由采购人按照采购合同、采购文件要求和响应文件承诺进行核对，根据国家相关法律法规，对货物的规格参数和质量标准进行检查验收。</w:t>
      </w:r>
    </w:p>
    <w:p>
      <w:pPr>
        <w:pStyle w:val="19"/>
        <w:numPr>
          <w:ilvl w:val="0"/>
          <w:numId w:val="8"/>
        </w:numPr>
        <w:spacing w:line="360" w:lineRule="auto"/>
        <w:ind w:left="0" w:firstLine="420"/>
      </w:pPr>
      <w:r>
        <w:rPr>
          <w:rFonts w:hint="eastAsia"/>
        </w:rPr>
        <w:t>货物在验收过程中发现所交付的货物有短缺、次品、损坏或其他不符合磋商文件、合同规定之情形者，采购人有权拒付该批物品的费用，并由成交供应商承担由此发生的一切费用和损失。</w:t>
      </w:r>
    </w:p>
    <w:p>
      <w:pPr>
        <w:pStyle w:val="19"/>
        <w:numPr>
          <w:ilvl w:val="0"/>
          <w:numId w:val="8"/>
        </w:numPr>
        <w:spacing w:line="360" w:lineRule="auto"/>
        <w:ind w:left="0" w:firstLine="420"/>
      </w:pPr>
      <w:r>
        <w:rPr>
          <w:rFonts w:hint="eastAsia"/>
        </w:rPr>
        <w:t>所有货物在使用过程中发现以次充好或使用假冒伪劣产品的，成交供应商除无条件更换货物外，采购人还需按成交货物价格*更换货物数量之总值的5倍金额扣除成交供应商的履约保证金。此种情况超过2次或以上的，履约保证金不予以退还，采购人有权单方终止合同。</w:t>
      </w:r>
    </w:p>
    <w:p>
      <w:pPr>
        <w:pStyle w:val="19"/>
        <w:numPr>
          <w:ilvl w:val="0"/>
          <w:numId w:val="8"/>
        </w:numPr>
        <w:spacing w:line="360" w:lineRule="auto"/>
        <w:ind w:left="0" w:firstLine="420"/>
      </w:pPr>
      <w:r>
        <w:rPr>
          <w:rFonts w:hint="eastAsia"/>
        </w:rPr>
        <w:t>因质量问题发生争议时，由地级市或以上的质检部门进行相关鉴定，鉴定费用先由成交供应商垫付，鉴定结果符合质量技术要求，发生的所有鉴定费用由采购人承担；鉴定结果不符合质量技术要求，发生的所有鉴定费由成交供应商承担。</w:t>
      </w:r>
    </w:p>
    <w:p>
      <w:pPr>
        <w:pStyle w:val="19"/>
        <w:numPr>
          <w:ilvl w:val="0"/>
          <w:numId w:val="8"/>
        </w:numPr>
        <w:spacing w:line="360" w:lineRule="auto"/>
        <w:ind w:left="0" w:firstLine="420"/>
      </w:pPr>
      <w:r>
        <w:rPr>
          <w:rFonts w:hint="eastAsia"/>
        </w:rPr>
        <w:t>若成交供应商提供的产品发生知识产权纠纷的，由成交供应商执行处置与原知识产权所有者协商解决，采购人不承担与之相关的任何经济和法律责任。</w:t>
      </w:r>
    </w:p>
    <w:p>
      <w:pPr>
        <w:spacing w:line="360" w:lineRule="auto"/>
        <w:rPr>
          <w:b/>
        </w:rPr>
      </w:pPr>
      <w:r>
        <w:rPr>
          <w:rFonts w:hint="eastAsia"/>
          <w:b/>
        </w:rPr>
        <w:t>六、投标报价要求</w:t>
      </w:r>
    </w:p>
    <w:p>
      <w:pPr>
        <w:pStyle w:val="19"/>
        <w:numPr>
          <w:ilvl w:val="0"/>
          <w:numId w:val="9"/>
        </w:numPr>
        <w:spacing w:line="360" w:lineRule="auto"/>
        <w:ind w:left="0" w:firstLine="420"/>
        <w:rPr>
          <w:rFonts w:asciiTheme="minorEastAsia" w:hAnsiTheme="minorEastAsia"/>
        </w:rPr>
      </w:pPr>
      <w:r>
        <w:rPr>
          <w:rFonts w:hint="eastAsia" w:asciiTheme="minorEastAsia" w:hAnsiTheme="minorEastAsia"/>
        </w:rPr>
        <w:t>★供应商对采购物品的单价报出统一的投标下浮率，下浮率在0%（含本数）-100%（含本数）范围内取值，若报价超出此范围则投标无效。</w:t>
      </w:r>
    </w:p>
    <w:p>
      <w:pPr>
        <w:pStyle w:val="19"/>
        <w:numPr>
          <w:ilvl w:val="0"/>
          <w:numId w:val="9"/>
        </w:numPr>
        <w:spacing w:line="360" w:lineRule="auto"/>
        <w:ind w:left="0" w:firstLine="420"/>
      </w:pPr>
      <w:r>
        <w:rPr>
          <w:rFonts w:hint="eastAsia"/>
        </w:rPr>
        <w:t>供应商报价应为人民币含税全包价，包含货物、包装费、运杂费、保险费、卸车费、配合费、检测费、配送费、税金及供应商认为需要的所有费用，采购人不再单独支付其他费用。</w:t>
      </w:r>
    </w:p>
    <w:p>
      <w:pPr>
        <w:pStyle w:val="19"/>
        <w:numPr>
          <w:ilvl w:val="0"/>
          <w:numId w:val="9"/>
        </w:numPr>
        <w:spacing w:line="360" w:lineRule="auto"/>
        <w:ind w:left="0" w:firstLine="420"/>
      </w:pPr>
      <w:r>
        <w:rPr>
          <w:rFonts w:hint="eastAsia" w:asciiTheme="minorEastAsia" w:hAnsiTheme="minorEastAsia"/>
        </w:rPr>
        <w:t>★协议供货期间的价格：各类货物实际供货价=单价上限值×（1-投标下浮率）。在合同期内，</w:t>
      </w:r>
      <w:r>
        <w:rPr>
          <w:rFonts w:hint="eastAsia" w:ascii="宋体" w:hAnsi="宋体" w:cs="宋体"/>
          <w:bCs/>
          <w:szCs w:val="21"/>
        </w:rPr>
        <w:t>成交价即是合同期间的最终价格，</w:t>
      </w:r>
      <w:r>
        <w:rPr>
          <w:rFonts w:hint="eastAsia" w:asciiTheme="minorEastAsia" w:hAnsiTheme="minorEastAsia"/>
        </w:rPr>
        <w:t>成交价（1-下浮率）不再随着市场同类商品市场价格的调整而进行调整。</w:t>
      </w:r>
    </w:p>
    <w:p>
      <w:pPr>
        <w:spacing w:line="360" w:lineRule="auto"/>
        <w:ind w:firstLine="420" w:firstLineChars="200"/>
      </w:pPr>
      <w:r>
        <w:rPr>
          <w:rFonts w:hint="eastAsia"/>
        </w:rPr>
        <w:t>例：采购人采购多功能电能表1个，多功能电能表单价上限值为1760.00元/个，成交供应商的下浮率为8%，则管道泵实际供货价=1760.00元</w:t>
      </w:r>
      <w:r>
        <w:rPr>
          <w:rFonts w:hint="eastAsia" w:asciiTheme="minorEastAsia" w:hAnsiTheme="minorEastAsia"/>
        </w:rPr>
        <w:t>×</w:t>
      </w:r>
      <w:r>
        <w:rPr>
          <w:rFonts w:hint="eastAsia"/>
        </w:rPr>
        <w:t>（1-8%）=1619.20元。</w:t>
      </w:r>
    </w:p>
    <w:p>
      <w:pPr>
        <w:spacing w:line="360" w:lineRule="auto"/>
        <w:rPr>
          <w:rFonts w:asciiTheme="minorEastAsia" w:hAnsiTheme="minorEastAsia"/>
          <w:b/>
        </w:rPr>
      </w:pPr>
      <w:r>
        <w:rPr>
          <w:rFonts w:hint="eastAsia" w:asciiTheme="minorEastAsia" w:hAnsiTheme="minorEastAsia"/>
          <w:b/>
        </w:rPr>
        <w:t>七、交货方式及交货地点</w:t>
      </w:r>
    </w:p>
    <w:p>
      <w:pPr>
        <w:pStyle w:val="19"/>
        <w:numPr>
          <w:ilvl w:val="0"/>
          <w:numId w:val="10"/>
        </w:numPr>
        <w:spacing w:line="360" w:lineRule="auto"/>
        <w:ind w:left="0" w:firstLine="420"/>
        <w:rPr>
          <w:rFonts w:asciiTheme="minorEastAsia" w:hAnsiTheme="minorEastAsia"/>
        </w:rPr>
      </w:pPr>
      <w:r>
        <w:rPr>
          <w:rFonts w:hint="eastAsia" w:asciiTheme="minorEastAsia" w:hAnsiTheme="minorEastAsia"/>
        </w:rPr>
        <w:t>▲交货方式：一年内分批交货，非紧急货物在接到采购人通知后2个工作日内将所需货物送至交货地点，紧急货物在接到采购人通知后2小时内将所需货物送至交货地点。</w:t>
      </w:r>
    </w:p>
    <w:p>
      <w:pPr>
        <w:pStyle w:val="19"/>
        <w:numPr>
          <w:ilvl w:val="0"/>
          <w:numId w:val="10"/>
        </w:numPr>
        <w:spacing w:line="360" w:lineRule="auto"/>
        <w:ind w:left="0" w:firstLine="420"/>
      </w:pPr>
      <w:r>
        <w:rPr>
          <w:rFonts w:hint="eastAsia"/>
        </w:rPr>
        <w:t>交货地点：按采购人指定地点。</w:t>
      </w:r>
    </w:p>
    <w:p>
      <w:pPr>
        <w:spacing w:line="360" w:lineRule="auto"/>
        <w:rPr>
          <w:b/>
        </w:rPr>
      </w:pPr>
      <w:r>
        <w:rPr>
          <w:rFonts w:hint="eastAsia"/>
          <w:b/>
        </w:rPr>
        <w:t>八、质保期及售后服务要求</w:t>
      </w:r>
    </w:p>
    <w:p>
      <w:pPr>
        <w:pStyle w:val="19"/>
        <w:numPr>
          <w:ilvl w:val="0"/>
          <w:numId w:val="11"/>
        </w:numPr>
        <w:spacing w:line="360" w:lineRule="auto"/>
        <w:ind w:left="0" w:firstLine="420"/>
      </w:pPr>
      <w:r>
        <w:rPr>
          <w:rFonts w:hint="eastAsia"/>
        </w:rPr>
        <w:t>成交供应商所提供的货物应是全新正品，其质量、规格满足用户需求，且必须符合国家行业生产及经营标准，货真价实，均能提供相应的合格证明资料。</w:t>
      </w:r>
    </w:p>
    <w:p>
      <w:pPr>
        <w:pStyle w:val="19"/>
        <w:numPr>
          <w:ilvl w:val="0"/>
          <w:numId w:val="11"/>
        </w:numPr>
        <w:spacing w:line="360" w:lineRule="auto"/>
        <w:ind w:left="0" w:firstLine="420"/>
      </w:pPr>
      <w:r>
        <w:rPr>
          <w:rFonts w:hint="eastAsia" w:ascii="宋体" w:hAnsi="宋体" w:cs="宋体"/>
          <w:szCs w:val="21"/>
        </w:rPr>
        <w:t>因成交供应商所供应的货物质量问题造成采购人设备故障或出现严重事故的，由成交供应商负责维修，所造成的一切损失及责任由成交供应承担。</w:t>
      </w:r>
    </w:p>
    <w:p>
      <w:pPr>
        <w:pStyle w:val="19"/>
        <w:numPr>
          <w:ilvl w:val="0"/>
          <w:numId w:val="11"/>
        </w:numPr>
        <w:spacing w:line="360" w:lineRule="auto"/>
        <w:ind w:left="0" w:firstLine="420"/>
      </w:pPr>
      <w:r>
        <w:rPr>
          <w:rFonts w:hint="eastAsia" w:asciiTheme="minorEastAsia" w:hAnsiTheme="minorEastAsia"/>
        </w:rPr>
        <w:t>▲货物在质保期内如有质量问题时，成交供应商必须对采购人提出的质量异议在1小时内予以响应并针对问题提出解决办法，2小时内到达现场，</w:t>
      </w:r>
      <w:r>
        <w:rPr>
          <w:rFonts w:hint="eastAsia" w:ascii="宋体" w:hAnsi="宋体" w:cs="宋体"/>
          <w:szCs w:val="21"/>
        </w:rPr>
        <w:t>解决问题的时限为到达现场后3小时内。</w:t>
      </w:r>
      <w:r>
        <w:rPr>
          <w:rFonts w:hint="eastAsia" w:asciiTheme="minorEastAsia" w:hAnsiTheme="minorEastAsia"/>
        </w:rPr>
        <w:t>如到场后3小时内仍无法解决或需更换的，成交供应商应另行提供等同或优于原参数的产品供采购人使用。未能及时完成修理或更换的，采购人有权自行购买更换，所支付费用从履约保证金中扣除。</w:t>
      </w:r>
    </w:p>
    <w:p>
      <w:pPr>
        <w:pStyle w:val="19"/>
        <w:numPr>
          <w:ilvl w:val="0"/>
          <w:numId w:val="11"/>
        </w:numPr>
        <w:spacing w:line="360" w:lineRule="auto"/>
        <w:ind w:left="0" w:firstLine="420"/>
        <w:rPr>
          <w:rFonts w:ascii="宋体" w:hAnsi="宋体" w:cs="宋体"/>
          <w:b/>
          <w:szCs w:val="21"/>
        </w:rPr>
      </w:pPr>
      <w:r>
        <w:rPr>
          <w:rFonts w:hint="eastAsia" w:asciiTheme="minorEastAsia" w:hAnsiTheme="minorEastAsia"/>
        </w:rPr>
        <w:t>▲</w:t>
      </w:r>
      <w:r>
        <w:rPr>
          <w:rFonts w:hint="eastAsia" w:ascii="宋体" w:hAnsi="宋体" w:cs="宋体"/>
          <w:szCs w:val="21"/>
        </w:rPr>
        <w:t>质保期内，成交供应商提供24小时响应服务。成交供应商需</w:t>
      </w:r>
      <w:r>
        <w:rPr>
          <w:rFonts w:hint="eastAsia" w:asciiTheme="minorEastAsia" w:hAnsiTheme="minorEastAsia"/>
        </w:rPr>
        <w:t>指定一名人员为本项目负责人，负责人要保证服务电话24小时保持畅通。</w:t>
      </w:r>
    </w:p>
    <w:p>
      <w:pPr>
        <w:pStyle w:val="19"/>
        <w:numPr>
          <w:ilvl w:val="0"/>
          <w:numId w:val="11"/>
        </w:numPr>
        <w:spacing w:line="360" w:lineRule="auto"/>
        <w:ind w:left="0" w:firstLine="420"/>
      </w:pPr>
      <w:r>
        <w:rPr>
          <w:rFonts w:hint="eastAsia" w:ascii="宋体" w:hAnsi="宋体" w:cs="宋体"/>
          <w:bCs/>
          <w:szCs w:val="21"/>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p>
      <w:pPr>
        <w:spacing w:line="360" w:lineRule="auto"/>
        <w:rPr>
          <w:rFonts w:asciiTheme="minorEastAsia" w:hAnsiTheme="minorEastAsia"/>
          <w:b/>
        </w:rPr>
      </w:pPr>
      <w:r>
        <w:rPr>
          <w:rFonts w:hint="eastAsia" w:asciiTheme="minorEastAsia" w:hAnsiTheme="minorEastAsia"/>
          <w:b/>
        </w:rPr>
        <w:t>九、付款方式</w:t>
      </w:r>
    </w:p>
    <w:p>
      <w:pPr>
        <w:spacing w:line="360" w:lineRule="auto"/>
        <w:ind w:firstLine="420" w:firstLineChars="200"/>
        <w:rPr>
          <w:rFonts w:ascii="宋体" w:hAnsi="宋体" w:cs="宋体"/>
          <w:szCs w:val="21"/>
        </w:rPr>
      </w:pPr>
      <w:r>
        <w:rPr>
          <w:rFonts w:hint="eastAsia" w:ascii="宋体" w:hAnsi="宋体" w:cs="宋体"/>
          <w:szCs w:val="21"/>
        </w:rPr>
        <w:t>1、合同签订后，供货期内采购人可按照实际使用需要分批次要求成交供应商供货。合同无预付款，每批次订货无预付款。</w:t>
      </w:r>
    </w:p>
    <w:p>
      <w:pPr>
        <w:spacing w:line="360" w:lineRule="auto"/>
        <w:ind w:firstLine="420" w:firstLineChars="200"/>
        <w:rPr>
          <w:rFonts w:ascii="宋体" w:hAnsi="宋体" w:cs="宋体"/>
          <w:szCs w:val="21"/>
        </w:rPr>
      </w:pPr>
      <w:r>
        <w:rPr>
          <w:rFonts w:hint="eastAsia" w:ascii="宋体" w:hAnsi="宋体" w:cs="宋体"/>
          <w:szCs w:val="21"/>
        </w:rPr>
        <w:t>2、按月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pStyle w:val="22"/>
        <w:spacing w:line="360" w:lineRule="auto"/>
        <w:rPr>
          <w:rFonts w:ascii="宋体" w:hAnsi="宋体"/>
          <w:b/>
          <w:szCs w:val="21"/>
        </w:rPr>
      </w:pPr>
      <w:r>
        <w:rPr>
          <w:rFonts w:hint="eastAsia" w:ascii="宋体" w:hAnsi="宋体" w:cs="宋体"/>
          <w:szCs w:val="21"/>
        </w:rPr>
        <w:t>3、成交供应商须开具与响应文件中供应商名称一致的发票。</w:t>
      </w:r>
    </w:p>
    <w:p>
      <w:pPr>
        <w:spacing w:line="360" w:lineRule="auto"/>
        <w:rPr>
          <w:b/>
        </w:rPr>
      </w:pPr>
      <w:r>
        <w:rPr>
          <w:rFonts w:hint="eastAsia"/>
          <w:b/>
        </w:rPr>
        <w:t>十、履约保证金及违约</w:t>
      </w:r>
    </w:p>
    <w:p>
      <w:pPr>
        <w:spacing w:line="360" w:lineRule="auto"/>
        <w:ind w:firstLine="210" w:firstLineChars="100"/>
        <w:rPr>
          <w:rFonts w:ascii="宋体" w:hAnsi="宋体" w:cs="宋体"/>
          <w:bCs/>
          <w:szCs w:val="21"/>
        </w:rPr>
      </w:pPr>
      <w:r>
        <w:rPr>
          <w:rFonts w:hint="eastAsia" w:asciiTheme="minorEastAsia" w:hAnsiTheme="minorEastAsia"/>
        </w:rPr>
        <w:t>★1、</w:t>
      </w:r>
      <w:r>
        <w:rPr>
          <w:rFonts w:hint="eastAsia" w:ascii="宋体" w:hAnsi="宋体" w:cs="宋体"/>
          <w:bCs/>
          <w:szCs w:val="21"/>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p>
      <w:pPr>
        <w:pStyle w:val="19"/>
        <w:spacing w:line="360" w:lineRule="auto"/>
        <w:ind w:firstLine="210" w:firstLineChars="100"/>
        <w:rPr>
          <w:rFonts w:ascii="宋体" w:hAnsi="宋体" w:cs="宋体"/>
          <w:bCs/>
          <w:color w:val="auto"/>
          <w:szCs w:val="21"/>
        </w:rPr>
      </w:pPr>
      <w:r>
        <w:rPr>
          <w:rFonts w:hint="eastAsia" w:asciiTheme="minorEastAsia" w:hAnsiTheme="minorEastAsia"/>
          <w:color w:val="auto"/>
        </w:rPr>
        <w:t>★</w:t>
      </w:r>
      <w:r>
        <w:rPr>
          <w:rFonts w:hint="eastAsia" w:ascii="宋体" w:hAnsi="宋体" w:cs="宋体"/>
          <w:bCs/>
          <w:color w:val="auto"/>
          <w:szCs w:val="21"/>
        </w:rPr>
        <w:t>2、成交供应商逾期交货的，则每逾期一天按约定未足额交付货物的部分金额的5‰支付违约金给采购人。如超过合同规定交货期限10天成交供应商仍不能交货的，则视为成交供应商不能交货，成交供应商不能交货的，则按约定未足额交付货物的部分金额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spacing w:line="360" w:lineRule="auto"/>
        <w:rPr>
          <w:rFonts w:asciiTheme="minorEastAsia" w:hAnsiTheme="minorEastAsia"/>
          <w:b/>
        </w:rPr>
      </w:pPr>
      <w:r>
        <w:rPr>
          <w:rFonts w:hint="eastAsia" w:asciiTheme="minorEastAsia" w:hAnsiTheme="minorEastAsia"/>
          <w:b/>
        </w:rPr>
        <w:t>十一、技术文件</w:t>
      </w:r>
    </w:p>
    <w:p>
      <w:pPr>
        <w:spacing w:line="360" w:lineRule="auto"/>
        <w:ind w:firstLine="420" w:firstLineChars="200"/>
        <w:rPr>
          <w:rFonts w:asciiTheme="minorEastAsia" w:hAnsiTheme="minorEastAsia"/>
        </w:rPr>
      </w:pPr>
      <w:r>
        <w:rPr>
          <w:rFonts w:hint="eastAsia" w:asciiTheme="minorEastAsia" w:hAnsiTheme="minorEastAsia"/>
        </w:rPr>
        <w:t>供应商应提供包括但不限于所供应产品的使用和维护的技术文件。</w:t>
      </w:r>
    </w:p>
    <w:p>
      <w:pPr>
        <w:spacing w:line="360" w:lineRule="auto"/>
        <w:rPr>
          <w:rFonts w:asciiTheme="minorEastAsia" w:hAnsiTheme="minorEastAsia"/>
          <w:b/>
        </w:rPr>
      </w:pPr>
      <w:r>
        <w:rPr>
          <w:rFonts w:hint="eastAsia" w:asciiTheme="minorEastAsia" w:hAnsiTheme="minorEastAsia"/>
          <w:b/>
        </w:rPr>
        <w:t>十二、知识产权</w:t>
      </w:r>
    </w:p>
    <w:p>
      <w:pPr>
        <w:snapToGrid w:val="0"/>
        <w:spacing w:line="360" w:lineRule="auto"/>
        <w:ind w:firstLine="420" w:firstLineChars="200"/>
        <w:rPr>
          <w:rFonts w:hint="eastAsia" w:ascii="宋体" w:hAnsi="宋体" w:cs="宋体"/>
          <w:bCs/>
          <w:szCs w:val="21"/>
        </w:rPr>
      </w:pPr>
      <w:r>
        <w:rPr>
          <w:rFonts w:hint="eastAsia" w:ascii="宋体" w:hAnsi="宋体" w:cs="宋体"/>
          <w:bCs/>
          <w:szCs w:val="21"/>
        </w:rPr>
        <w:t>成交供应商应保证执行本项目向采购人提供的所有货物、材料、工序工艺等产品不侵犯第三方知识产权、商业秘密等权利。若发生侵犯第三方权利的情况,成交供应商应负责与第三方交涉, 并承担由此而产生的一切法律责任, 如采购人因此而遭受损失，成交供应商应承担全部的赔偿责任。</w:t>
      </w: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lang w:val="en-US" w:eastAsia="zh-CN"/>
        </w:rPr>
      </w:pPr>
    </w:p>
    <w:p>
      <w:pPr>
        <w:pStyle w:val="3"/>
        <w:rPr>
          <w:rFonts w:hint="eastAsia"/>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12"/>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jc w:val="center"/>
        <w:rPr>
          <w:rFonts w:hint="eastAsia"/>
          <w:b/>
          <w:bCs/>
          <w:sz w:val="28"/>
          <w:szCs w:val="32"/>
          <w:lang w:val="en-US" w:eastAsia="zh-CN"/>
        </w:rPr>
      </w:pPr>
      <w:r>
        <w:rPr>
          <w:rFonts w:hint="eastAsia" w:asciiTheme="minorEastAsia" w:hAnsiTheme="minorEastAsia"/>
          <w:b/>
          <w:bCs/>
          <w:sz w:val="28"/>
          <w:szCs w:val="32"/>
        </w:rPr>
        <w:t>分值权重</w:t>
      </w:r>
    </w:p>
    <w:p>
      <w:pPr>
        <w:pStyle w:val="19"/>
        <w:rPr>
          <w:rFonts w:hint="eastAsia"/>
          <w:lang w:val="en-US" w:eastAsia="zh-CN"/>
        </w:rPr>
      </w:pPr>
    </w:p>
    <w:tbl>
      <w:tblPr>
        <w:tblStyle w:val="14"/>
        <w:tblW w:w="78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75"/>
        <w:gridCol w:w="2734"/>
        <w:gridCol w:w="25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75"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评分项目</w:t>
            </w:r>
          </w:p>
        </w:tc>
        <w:tc>
          <w:tcPr>
            <w:tcW w:w="2734"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技术商务评分</w:t>
            </w:r>
          </w:p>
        </w:tc>
        <w:tc>
          <w:tcPr>
            <w:tcW w:w="2571" w:type="dxa"/>
            <w:tcBorders>
              <w:top w:val="double" w:color="auto" w:sz="4" w:space="0"/>
              <w:left w:val="single" w:color="auto" w:sz="4" w:space="0"/>
              <w:bottom w:val="single" w:color="auto" w:sz="6" w:space="0"/>
            </w:tcBorders>
            <w:shd w:val="clear" w:color="auto" w:fill="E0E0E0"/>
            <w:vAlign w:val="center"/>
          </w:tcPr>
          <w:p>
            <w:pPr>
              <w:ind w:left="105" w:hanging="105"/>
              <w:jc w:val="center"/>
              <w:rPr>
                <w:b/>
              </w:rPr>
            </w:pPr>
            <w:r>
              <w:rPr>
                <w:rFonts w:hint="eastAsia" w:ascii="宋体" w:hAnsi="宋体"/>
                <w:b/>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2575" w:type="dxa"/>
            <w:tcBorders>
              <w:top w:val="single" w:color="auto" w:sz="6" w:space="0"/>
            </w:tcBorders>
            <w:vAlign w:val="center"/>
          </w:tcPr>
          <w:p>
            <w:pPr>
              <w:ind w:left="105" w:hanging="105"/>
              <w:jc w:val="center"/>
              <w:rPr>
                <w:b/>
              </w:rPr>
            </w:pPr>
            <w:r>
              <w:rPr>
                <w:rFonts w:hint="eastAsia" w:ascii="宋体" w:hAnsi="宋体"/>
                <w:b/>
              </w:rPr>
              <w:t>分   值</w:t>
            </w:r>
          </w:p>
        </w:tc>
        <w:tc>
          <w:tcPr>
            <w:tcW w:w="2734" w:type="dxa"/>
            <w:tcBorders>
              <w:top w:val="single" w:color="auto" w:sz="6" w:space="0"/>
            </w:tcBorders>
            <w:vAlign w:val="center"/>
          </w:tcPr>
          <w:p>
            <w:pPr>
              <w:ind w:left="105" w:hanging="105"/>
              <w:jc w:val="center"/>
            </w:pPr>
            <w:r>
              <w:rPr>
                <w:rFonts w:hint="eastAsia" w:ascii="宋体"/>
              </w:rPr>
              <w:t>70</w:t>
            </w:r>
            <w:r>
              <w:rPr>
                <w:rFonts w:hint="eastAsia" w:ascii="宋体" w:hAnsi="宋体"/>
              </w:rPr>
              <w:t>分</w:t>
            </w:r>
          </w:p>
        </w:tc>
        <w:tc>
          <w:tcPr>
            <w:tcW w:w="2571" w:type="dxa"/>
            <w:tcBorders>
              <w:top w:val="single" w:color="auto" w:sz="6" w:space="0"/>
              <w:left w:val="single" w:color="auto" w:sz="4" w:space="0"/>
            </w:tcBorders>
            <w:vAlign w:val="center"/>
          </w:tcPr>
          <w:p>
            <w:pPr>
              <w:ind w:left="105" w:hanging="105"/>
              <w:jc w:val="center"/>
              <w:rPr>
                <w:rFonts w:ascii="宋体"/>
              </w:rPr>
            </w:pPr>
            <w:r>
              <w:rPr>
                <w:rFonts w:ascii="宋体"/>
              </w:rPr>
              <w:t>3</w:t>
            </w:r>
            <w:r>
              <w:rPr>
                <w:rFonts w:hint="eastAsia" w:ascii="宋体"/>
              </w:rPr>
              <w:t>0分</w:t>
            </w:r>
          </w:p>
        </w:tc>
      </w:tr>
    </w:tbl>
    <w:p>
      <w:pPr>
        <w:pStyle w:val="2"/>
      </w:pPr>
    </w:p>
    <w:p>
      <w:pPr>
        <w:tabs>
          <w:tab w:val="left" w:pos="540"/>
          <w:tab w:val="left" w:pos="780"/>
        </w:tabs>
        <w:spacing w:line="360" w:lineRule="auto"/>
        <w:ind w:firstLine="836" w:firstLineChars="347"/>
        <w:jc w:val="center"/>
        <w:rPr>
          <w:rFonts w:hint="eastAsia" w:ascii="宋体" w:hAnsi="宋体"/>
          <w:b/>
          <w:sz w:val="24"/>
          <w:highlight w:val="none"/>
          <w:lang w:val="en-US" w:eastAsia="zh-CN"/>
        </w:rPr>
      </w:pPr>
    </w:p>
    <w:p>
      <w:pPr>
        <w:tabs>
          <w:tab w:val="left" w:pos="540"/>
          <w:tab w:val="left" w:pos="780"/>
        </w:tabs>
        <w:spacing w:line="360" w:lineRule="auto"/>
        <w:ind w:firstLine="0" w:firstLineChars="0"/>
        <w:jc w:val="both"/>
        <w:rPr>
          <w:rFonts w:hint="eastAsia" w:ascii="宋体" w:hAnsi="宋体"/>
          <w:b/>
          <w:sz w:val="24"/>
          <w:highlight w:val="none"/>
          <w:lang w:val="en-US" w:eastAsia="zh-CN"/>
        </w:rPr>
      </w:pPr>
    </w:p>
    <w:p>
      <w:pPr>
        <w:tabs>
          <w:tab w:val="left" w:pos="540"/>
          <w:tab w:val="left" w:pos="780"/>
        </w:tabs>
        <w:spacing w:line="360" w:lineRule="auto"/>
        <w:ind w:firstLine="836" w:firstLineChars="347"/>
        <w:jc w:val="center"/>
        <w:rPr>
          <w:rFonts w:hint="eastAsia" w:ascii="宋体" w:hAnsi="宋体"/>
          <w:b/>
          <w:sz w:val="24"/>
          <w:highlight w:val="none"/>
          <w:lang w:val="en-US" w:eastAsia="zh-CN"/>
        </w:rPr>
      </w:pPr>
      <w:r>
        <w:rPr>
          <w:rFonts w:hint="eastAsia" w:ascii="宋体" w:hAnsi="宋体"/>
          <w:b/>
          <w:sz w:val="24"/>
          <w:highlight w:val="none"/>
          <w:lang w:val="en-US" w:eastAsia="zh-CN"/>
        </w:rPr>
        <w:t>技术商务评审表</w:t>
      </w:r>
    </w:p>
    <w:tbl>
      <w:tblPr>
        <w:tblStyle w:val="14"/>
        <w:tblW w:w="8867"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57" w:type="dxa"/>
          <w:bottom w:w="0" w:type="dxa"/>
          <w:right w:w="57" w:type="dxa"/>
        </w:tblCellMar>
      </w:tblPr>
      <w:tblGrid>
        <w:gridCol w:w="644"/>
        <w:gridCol w:w="1039"/>
        <w:gridCol w:w="600"/>
        <w:gridCol w:w="5704"/>
        <w:gridCol w:w="880"/>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284" w:hRule="atLeast"/>
          <w:jc w:val="center"/>
        </w:trPr>
        <w:tc>
          <w:tcPr>
            <w:tcW w:w="644"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序号</w:t>
            </w:r>
          </w:p>
        </w:tc>
        <w:tc>
          <w:tcPr>
            <w:tcW w:w="1039"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评审项目</w:t>
            </w:r>
          </w:p>
        </w:tc>
        <w:tc>
          <w:tcPr>
            <w:tcW w:w="600"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分值</w:t>
            </w:r>
          </w:p>
        </w:tc>
        <w:tc>
          <w:tcPr>
            <w:tcW w:w="5704"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bCs/>
                <w:szCs w:val="21"/>
              </w:rPr>
              <w:t>评议内容及评分</w:t>
            </w:r>
          </w:p>
        </w:tc>
        <w:tc>
          <w:tcPr>
            <w:tcW w:w="880"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1</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企业信用</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供应商提供由中国人民银行或合法第三方信用服务机构出具的企业信用报告或信用记录，得5分，不提供不得分。</w:t>
            </w:r>
          </w:p>
          <w:p>
            <w:pPr>
              <w:rPr>
                <w:rFonts w:ascii="宋体" w:hAnsi="宋体" w:cs="宋体"/>
                <w:b/>
                <w:bCs/>
                <w:szCs w:val="21"/>
              </w:rPr>
            </w:pPr>
            <w:r>
              <w:rPr>
                <w:rFonts w:hint="eastAsia" w:ascii="宋体" w:hAnsi="宋体" w:cs="宋体"/>
                <w:b/>
                <w:bCs/>
                <w:szCs w:val="21"/>
              </w:rPr>
              <w:t>注：（1）响应文件中提供信用报告或信用记录复印件加盖供应商公章。</w:t>
            </w:r>
          </w:p>
          <w:p>
            <w:pPr>
              <w:rPr>
                <w:rFonts w:ascii="宋体" w:hAnsi="宋体" w:cs="宋体"/>
                <w:szCs w:val="21"/>
              </w:rPr>
            </w:pPr>
            <w:r>
              <w:rPr>
                <w:rFonts w:hint="eastAsia" w:ascii="宋体" w:hAnsi="宋体" w:cs="宋体"/>
                <w:b/>
                <w:bCs/>
                <w:szCs w:val="21"/>
              </w:rPr>
              <w:t xml:space="preserve">（2）如为第三方信用服务机构出具的企业信用报告或信用记录，须提供该机构在中国人民银行的备案证明资料，没有提供备案证明资料不得分，备案证明资料可为复印件加盖供应商公章或者原件。 </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业绩经验</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供应商自2020年至今（以合同签订时间为准）承接同类业绩，每提供一项得0.5分，最高得5分。</w:t>
            </w:r>
          </w:p>
          <w:p>
            <w:pPr>
              <w:rPr>
                <w:rFonts w:ascii="宋体" w:hAnsi="宋体" w:cs="宋体"/>
                <w:szCs w:val="21"/>
              </w:rPr>
            </w:pPr>
            <w:r>
              <w:rPr>
                <w:rFonts w:hint="eastAsia" w:ascii="宋体" w:hAnsi="宋体" w:cs="宋体"/>
                <w:b/>
                <w:bCs/>
                <w:szCs w:val="21"/>
              </w:rPr>
              <w:t>注：响应文件中提供合同复印件加盖供应商公章，</w:t>
            </w:r>
            <w:r>
              <w:rPr>
                <w:rFonts w:hint="eastAsia" w:ascii="宋体" w:hAnsi="宋体" w:cs="宋体"/>
                <w:b/>
                <w:szCs w:val="21"/>
              </w:rPr>
              <w:t>未提供不得分。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货物质量</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综合对比供应商提供的货物质量、货物品牌与我院现有设备的匹配度、品牌影响力、市场占有率等。</w:t>
            </w:r>
          </w:p>
          <w:p>
            <w:pPr>
              <w:pStyle w:val="2"/>
              <w:jc w:val="left"/>
              <w:rPr>
                <w:rFonts w:ascii="宋体" w:hAnsi="宋体" w:cs="宋体" w:eastAsiaTheme="minorEastAsia"/>
                <w:sz w:val="21"/>
                <w:szCs w:val="21"/>
              </w:rPr>
            </w:pPr>
            <w:r>
              <w:rPr>
                <w:rFonts w:hint="eastAsia" w:ascii="宋体" w:hAnsi="宋体" w:cs="宋体" w:eastAsiaTheme="minorEastAsia"/>
                <w:sz w:val="21"/>
                <w:szCs w:val="21"/>
              </w:rPr>
              <w:t>提供的货物质量优、品牌与我院现有设备匹配度高、品牌知名度、认知度高、市场占有率高，得5分；</w:t>
            </w:r>
          </w:p>
          <w:p>
            <w:pPr>
              <w:pStyle w:val="2"/>
              <w:jc w:val="left"/>
              <w:rPr>
                <w:rFonts w:ascii="宋体" w:hAnsi="宋体" w:cs="宋体" w:eastAsiaTheme="minorEastAsia"/>
                <w:sz w:val="21"/>
                <w:szCs w:val="21"/>
              </w:rPr>
            </w:pPr>
            <w:r>
              <w:rPr>
                <w:rFonts w:hint="eastAsia" w:ascii="宋体" w:hAnsi="宋体" w:cs="宋体" w:eastAsiaTheme="minorEastAsia"/>
                <w:sz w:val="21"/>
                <w:szCs w:val="21"/>
              </w:rPr>
              <w:t>提供的货物质量优、品牌与我院现有设备匹配度一般、品牌知名度、认知度一般、市场占有率一般，得3分；</w:t>
            </w:r>
          </w:p>
          <w:p>
            <w:pPr>
              <w:pStyle w:val="2"/>
              <w:jc w:val="left"/>
              <w:rPr>
                <w:rFonts w:ascii="宋体" w:hAnsi="宋体" w:cs="宋体" w:eastAsiaTheme="minorEastAsia"/>
                <w:sz w:val="21"/>
                <w:szCs w:val="21"/>
              </w:rPr>
            </w:pPr>
            <w:r>
              <w:rPr>
                <w:rFonts w:hint="eastAsia" w:ascii="宋体" w:hAnsi="宋体" w:cs="宋体" w:eastAsiaTheme="minorEastAsia"/>
                <w:sz w:val="21"/>
                <w:szCs w:val="21"/>
              </w:rPr>
              <w:t>提供的货物质量良、品牌与我院现有设备不匹配、品牌知名度、认知度差、市场占有率低，不得分；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489"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4</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项目实施方案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综合对比各供应商提供的实施方案的合理性、可靠性，内容包含但不限于：供货方案、进度安排、验收等。</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方案完整，实施性强且可靠，符合我院实际供货需求，得</w:t>
            </w:r>
            <w:r>
              <w:rPr>
                <w:rFonts w:hint="eastAsia" w:asciiTheme="minorEastAsia" w:hAnsiTheme="minorEastAsia" w:eastAsiaTheme="minorEastAsia"/>
                <w:sz w:val="21"/>
                <w:szCs w:val="21"/>
              </w:rPr>
              <w:t>10分；</w:t>
            </w:r>
          </w:p>
          <w:p>
            <w:pPr>
              <w:pStyle w:val="3"/>
              <w:ind w:left="0"/>
              <w:jc w:val="left"/>
            </w:pPr>
            <w:r>
              <w:rPr>
                <w:rFonts w:hint="eastAsia"/>
              </w:rPr>
              <w:t>方案较完整，实施性一般并可靠，符合我院实际供货需求，得6分；</w:t>
            </w:r>
          </w:p>
          <w:p>
            <w:r>
              <w:rPr>
                <w:rFonts w:hint="eastAsia"/>
              </w:rPr>
              <w:t>方案较简易，实施性较差，符合我院实际供货需求，得2分；</w:t>
            </w:r>
          </w:p>
          <w:p>
            <w:pPr>
              <w:pStyle w:val="2"/>
              <w:jc w:val="both"/>
              <w:rPr>
                <w:rFonts w:asciiTheme="minorEastAsia" w:hAnsiTheme="minorEastAsia" w:eastAsiaTheme="minorEastAsia"/>
                <w:sz w:val="21"/>
                <w:szCs w:val="21"/>
              </w:rPr>
            </w:pPr>
            <w:r>
              <w:rPr>
                <w:rFonts w:asciiTheme="minorEastAsia" w:hAnsiTheme="minorEastAsia" w:eastAsiaTheme="minorEastAsia"/>
                <w:sz w:val="21"/>
                <w:szCs w:val="21"/>
              </w:rPr>
              <w:t>方案不完整，实施程度不可行，不符合我院实际供货需求，得</w:t>
            </w:r>
            <w:r>
              <w:rPr>
                <w:rFonts w:hint="eastAsia" w:asciiTheme="minorEastAsia" w:hAnsiTheme="minorEastAsia" w:eastAsiaTheme="minorEastAsia"/>
                <w:sz w:val="21"/>
                <w:szCs w:val="21"/>
              </w:rPr>
              <w:t>0分</w:t>
            </w:r>
            <w:r>
              <w:rPr>
                <w:rFonts w:asciiTheme="minorEastAsia" w:hAnsiTheme="minorEastAsia" w:eastAsiaTheme="minorEastAsia"/>
                <w:sz w:val="21"/>
                <w:szCs w:val="21"/>
              </w:rPr>
              <w:t>；</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未提供方案不得分。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633"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5</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配送服务方案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704"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szCs w:val="21"/>
              </w:rPr>
            </w:pPr>
            <w:r>
              <w:rPr>
                <w:rFonts w:hint="eastAsia" w:ascii="宋体" w:hAnsi="宋体" w:cs="宋体"/>
                <w:szCs w:val="21"/>
              </w:rPr>
              <w:t>综合对比各供应商提供的配送服务方案的合理性、可靠性，内容包含但不限于：投入本项目的人员、配送时间、响应速度等。</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投入本项目人员固定，配送时间</w:t>
            </w:r>
            <w:r>
              <w:rPr>
                <w:rFonts w:hint="eastAsia" w:asciiTheme="minorEastAsia" w:hAnsiTheme="minorEastAsia" w:eastAsiaTheme="minorEastAsia"/>
                <w:sz w:val="21"/>
                <w:szCs w:val="21"/>
              </w:rPr>
              <w:t>快于需求要求配送时间（快于需求要求通知时间1天、应急送货时间1小时）</w:t>
            </w:r>
            <w:r>
              <w:rPr>
                <w:rFonts w:asciiTheme="minorEastAsia" w:hAnsiTheme="minorEastAsia" w:eastAsiaTheme="minorEastAsia"/>
                <w:sz w:val="21"/>
                <w:szCs w:val="21"/>
              </w:rPr>
              <w:t>，响应速度快，得</w:t>
            </w:r>
            <w:r>
              <w:rPr>
                <w:rFonts w:hint="eastAsia" w:asciiTheme="minorEastAsia" w:hAnsiTheme="minorEastAsia" w:eastAsiaTheme="minorEastAsia"/>
                <w:sz w:val="21"/>
                <w:szCs w:val="21"/>
              </w:rPr>
              <w:t>10分；</w:t>
            </w:r>
          </w:p>
          <w:p>
            <w:pPr>
              <w:pStyle w:val="3"/>
              <w:ind w:left="0"/>
              <w:jc w:val="left"/>
            </w:pPr>
            <w:r>
              <w:rPr>
                <w:rFonts w:hint="eastAsia"/>
              </w:rPr>
              <w:t>投入本项目人员相对固定，配送时间快于需求要求配送时间（快于需求要求通知时间0.5天、应急送货时间0.5小时），响应速度较快，得6分；</w:t>
            </w:r>
          </w:p>
          <w:p>
            <w:r>
              <w:rPr>
                <w:rFonts w:hint="eastAsia"/>
              </w:rPr>
              <w:t>投入本项目人员相对固定，配送时间满足需求要求配送时间，响应速度较慢，得2分；</w:t>
            </w:r>
          </w:p>
          <w:p>
            <w:r>
              <w:rPr>
                <w:rFonts w:hint="eastAsia"/>
              </w:rPr>
              <w:t>投入本项目人员不固定，配送时间慢于需求要求配送时间，响应速度慢，得0分；</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未提供不得分。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6</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应急保障方案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ascii="宋体" w:hAnsi="宋体" w:cs="宋体"/>
                <w:szCs w:val="21"/>
              </w:rPr>
              <w:t>10</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根据各供应商提供的货物质保期内非正常情况或突发情况下的应急保障方案进行综合评价。</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方案全面，方案合理，应急响应速度</w:t>
            </w:r>
            <w:r>
              <w:rPr>
                <w:rFonts w:hint="eastAsia" w:asciiTheme="minorEastAsia" w:hAnsiTheme="minorEastAsia" w:eastAsiaTheme="minorEastAsia"/>
                <w:sz w:val="21"/>
                <w:szCs w:val="21"/>
              </w:rPr>
              <w:t>优于</w:t>
            </w:r>
            <w:r>
              <w:rPr>
                <w:rFonts w:asciiTheme="minorEastAsia" w:hAnsiTheme="minorEastAsia" w:eastAsiaTheme="minorEastAsia"/>
                <w:sz w:val="21"/>
                <w:szCs w:val="21"/>
              </w:rPr>
              <w:t>需求</w:t>
            </w:r>
            <w:r>
              <w:rPr>
                <w:rFonts w:hint="eastAsia" w:asciiTheme="minorEastAsia" w:hAnsiTheme="minorEastAsia" w:eastAsiaTheme="minorEastAsia"/>
                <w:sz w:val="21"/>
                <w:szCs w:val="21"/>
              </w:rPr>
              <w:t>（优于需求要求响应时间0.5小时，优于到场时间1小时）</w:t>
            </w:r>
            <w:r>
              <w:rPr>
                <w:rFonts w:asciiTheme="minorEastAsia" w:hAnsiTheme="minorEastAsia" w:eastAsiaTheme="minorEastAsia"/>
                <w:sz w:val="21"/>
                <w:szCs w:val="21"/>
              </w:rPr>
              <w:t>，</w:t>
            </w:r>
            <w:r>
              <w:rPr>
                <w:rFonts w:hint="eastAsia" w:asciiTheme="minorEastAsia" w:hAnsiTheme="minorEastAsia" w:eastAsiaTheme="minorEastAsia"/>
                <w:sz w:val="21"/>
                <w:szCs w:val="21"/>
              </w:rPr>
              <w:t>解决问题时间优于需求1小时</w:t>
            </w:r>
            <w:r>
              <w:rPr>
                <w:rFonts w:asciiTheme="minorEastAsia" w:hAnsiTheme="minorEastAsia" w:eastAsiaTheme="minorEastAsia"/>
                <w:sz w:val="21"/>
                <w:szCs w:val="21"/>
              </w:rPr>
              <w:t>，得10</w:t>
            </w:r>
            <w:r>
              <w:rPr>
                <w:rFonts w:hint="eastAsia" w:asciiTheme="minorEastAsia" w:hAnsiTheme="minorEastAsia" w:eastAsiaTheme="minorEastAsia"/>
                <w:sz w:val="21"/>
                <w:szCs w:val="21"/>
              </w:rPr>
              <w:t>分；</w:t>
            </w:r>
          </w:p>
          <w:p>
            <w:pPr>
              <w:pStyle w:val="3"/>
              <w:ind w:left="0"/>
              <w:jc w:val="left"/>
            </w:pPr>
            <w:r>
              <w:rPr>
                <w:rFonts w:hint="eastAsia"/>
              </w:rPr>
              <w:t>方案较全面，方案合理，应急响应速度优于需求（优于需求要求响应时间25分钟，优于到场时间0.5小时），解决问题时间优于需求0.5小时，得</w:t>
            </w:r>
            <w:r>
              <w:t>6</w:t>
            </w:r>
            <w:r>
              <w:rPr>
                <w:rFonts w:hint="eastAsia"/>
              </w:rPr>
              <w:t>分；</w:t>
            </w:r>
          </w:p>
          <w:p>
            <w:r>
              <w:rPr>
                <w:rFonts w:hint="eastAsia"/>
              </w:rPr>
              <w:t>方案较全面，方案较合理，应急响应速度满足需求，解决问题时间满足需求，得</w:t>
            </w:r>
            <w:r>
              <w:t>2</w:t>
            </w:r>
            <w:r>
              <w:rPr>
                <w:rFonts w:hint="eastAsia"/>
              </w:rPr>
              <w:t>分；</w:t>
            </w:r>
          </w:p>
          <w:p>
            <w:r>
              <w:rPr>
                <w:rFonts w:hint="eastAsia"/>
              </w:rPr>
              <w:t>方案不全面，方案不合理，应急响应速度不满足需求，解决问题时间不满足需求，得0分；</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未提供不得分。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7</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用户需求书响应程度</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根据响应文件对用户需求书（即非“</w:t>
            </w:r>
            <w:r>
              <w:rPr>
                <w:rFonts w:hint="eastAsia" w:cs="宋体" w:asciiTheme="minorEastAsia" w:hAnsiTheme="minorEastAsia"/>
                <w:szCs w:val="21"/>
              </w:rPr>
              <w:t>★</w:t>
            </w:r>
            <w:r>
              <w:rPr>
                <w:rFonts w:hint="eastAsia" w:ascii="宋体" w:hAnsi="宋体" w:cs="宋体"/>
                <w:szCs w:val="21"/>
              </w:rPr>
              <w:t>”号条款）的响应程度进行评审，完全满足得25分。其中，带“</w:t>
            </w:r>
            <w:r>
              <w:rPr>
                <w:rFonts w:hint="eastAsia" w:cs="宋体" w:asciiTheme="minorEastAsia" w:hAnsiTheme="minorEastAsia"/>
                <w:szCs w:val="21"/>
              </w:rPr>
              <w:t>▲</w:t>
            </w:r>
            <w:r>
              <w:rPr>
                <w:rFonts w:hint="eastAsia" w:ascii="宋体" w:hAnsi="宋体" w:cs="宋体"/>
                <w:szCs w:val="21"/>
              </w:rPr>
              <w:t>”号参数为重要指标，一项不满足（负偏离）扣3分；非“</w:t>
            </w:r>
            <w:r>
              <w:rPr>
                <w:rFonts w:hint="eastAsia" w:cs="宋体" w:asciiTheme="minorEastAsia" w:hAnsiTheme="minorEastAsia"/>
                <w:szCs w:val="21"/>
              </w:rPr>
              <w:t>▲</w:t>
            </w:r>
            <w:r>
              <w:rPr>
                <w:rFonts w:hint="eastAsia" w:ascii="宋体" w:hAnsi="宋体" w:cs="宋体"/>
                <w:szCs w:val="21"/>
              </w:rPr>
              <w:t>”号参数（带</w:t>
            </w:r>
            <w:r>
              <w:rPr>
                <w:rFonts w:ascii="宋体" w:hAnsi="宋体" w:cs="宋体"/>
                <w:szCs w:val="21"/>
              </w:rPr>
              <w:t>“</w:t>
            </w:r>
            <w:r>
              <w:rPr>
                <w:rFonts w:cs="宋体" w:asciiTheme="minorEastAsia" w:hAnsiTheme="minorEastAsia"/>
                <w:szCs w:val="21"/>
              </w:rPr>
              <w:t>★号</w:t>
            </w:r>
            <w:r>
              <w:rPr>
                <w:rFonts w:ascii="宋体" w:hAnsi="宋体" w:cs="宋体"/>
                <w:szCs w:val="21"/>
              </w:rPr>
              <w:t>”项除外</w:t>
            </w:r>
            <w:r>
              <w:rPr>
                <w:rFonts w:hint="eastAsia" w:ascii="宋体" w:hAnsi="宋体" w:cs="宋体"/>
                <w:szCs w:val="21"/>
              </w:rPr>
              <w:t>）为一般性指标，一项不满足（负偏离）扣2分，扣完为止。</w:t>
            </w:r>
          </w:p>
          <w:p>
            <w:pPr>
              <w:rPr>
                <w:rFonts w:ascii="宋体" w:hAnsi="宋体" w:cs="宋体"/>
                <w:b/>
                <w:szCs w:val="21"/>
              </w:rPr>
            </w:pPr>
            <w:r>
              <w:rPr>
                <w:rFonts w:hint="eastAsia" w:ascii="宋体" w:hAnsi="宋体" w:cs="宋体"/>
                <w:b/>
                <w:szCs w:val="21"/>
              </w:rPr>
              <w:t>注：以“技术条款响应表”及应招标要求提供的相关证明材料作为评审依据。</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373" w:hRule="atLeast"/>
          <w:jc w:val="center"/>
        </w:trPr>
        <w:tc>
          <w:tcPr>
            <w:tcW w:w="1683" w:type="dxa"/>
            <w:gridSpan w:val="2"/>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合计</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ascii="宋体" w:hAnsi="宋体" w:cs="宋体"/>
                <w:b/>
                <w:szCs w:val="21"/>
              </w:rPr>
              <w:t>7</w:t>
            </w:r>
            <w:r>
              <w:rPr>
                <w:rFonts w:hint="eastAsia" w:ascii="宋体" w:hAnsi="宋体" w:cs="宋体"/>
                <w:b/>
                <w:szCs w:val="21"/>
              </w:rPr>
              <w:t>0</w:t>
            </w:r>
          </w:p>
        </w:tc>
        <w:tc>
          <w:tcPr>
            <w:tcW w:w="570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得分合计</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bl>
    <w:p>
      <w:pPr>
        <w:pStyle w:val="2"/>
        <w:rPr>
          <w:rFonts w:hint="eastAsia"/>
          <w:lang w:val="en-US" w:eastAsia="zh-CN"/>
        </w:rPr>
      </w:pPr>
    </w:p>
    <w:p>
      <w:pPr>
        <w:rPr>
          <w:rFonts w:hint="eastAsia"/>
          <w:highlight w:val="none"/>
        </w:rPr>
      </w:pPr>
    </w:p>
    <w:p>
      <w:r>
        <w:rPr>
          <w:rFonts w:hint="eastAsia"/>
        </w:rPr>
        <w:t>价格评审：</w:t>
      </w:r>
    </w:p>
    <w:tbl>
      <w:tblPr>
        <w:tblStyle w:val="14"/>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68"/>
        <w:gridCol w:w="614"/>
        <w:gridCol w:w="5536"/>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46" w:type="dxa"/>
            <w:shd w:val="clear" w:color="auto" w:fill="D7D7D7"/>
            <w:vAlign w:val="center"/>
          </w:tcPr>
          <w:p>
            <w:pPr>
              <w:jc w:val="center"/>
              <w:rPr>
                <w:rFonts w:ascii="宋体" w:hAnsi="宋体" w:cs="宋体"/>
                <w:b/>
                <w:szCs w:val="21"/>
              </w:rPr>
            </w:pPr>
            <w:r>
              <w:rPr>
                <w:rFonts w:hint="eastAsia" w:ascii="宋体" w:hAnsi="宋体" w:cs="宋体"/>
                <w:b/>
                <w:szCs w:val="21"/>
              </w:rPr>
              <w:t>序号</w:t>
            </w:r>
          </w:p>
        </w:tc>
        <w:tc>
          <w:tcPr>
            <w:tcW w:w="668" w:type="dxa"/>
            <w:shd w:val="clear" w:color="auto" w:fill="D7D7D7"/>
            <w:vAlign w:val="center"/>
          </w:tcPr>
          <w:p>
            <w:pPr>
              <w:jc w:val="center"/>
              <w:rPr>
                <w:rFonts w:ascii="宋体" w:hAnsi="宋体" w:cs="宋体"/>
                <w:b/>
                <w:szCs w:val="21"/>
              </w:rPr>
            </w:pPr>
            <w:r>
              <w:rPr>
                <w:rFonts w:hint="eastAsia" w:ascii="宋体" w:hAnsi="宋体" w:cs="宋体"/>
                <w:b/>
                <w:szCs w:val="21"/>
              </w:rPr>
              <w:t>评分项目</w:t>
            </w:r>
          </w:p>
        </w:tc>
        <w:tc>
          <w:tcPr>
            <w:tcW w:w="614" w:type="dxa"/>
            <w:shd w:val="clear" w:color="auto" w:fill="D7D7D7"/>
            <w:vAlign w:val="center"/>
          </w:tcPr>
          <w:p>
            <w:pPr>
              <w:jc w:val="center"/>
              <w:rPr>
                <w:rFonts w:ascii="宋体" w:hAnsi="宋体" w:cs="宋体"/>
                <w:b/>
                <w:szCs w:val="21"/>
              </w:rPr>
            </w:pPr>
            <w:r>
              <w:rPr>
                <w:rFonts w:hint="eastAsia" w:ascii="宋体" w:hAnsi="宋体" w:cs="宋体"/>
                <w:b/>
                <w:szCs w:val="21"/>
              </w:rPr>
              <w:t>分值</w:t>
            </w:r>
          </w:p>
        </w:tc>
        <w:tc>
          <w:tcPr>
            <w:tcW w:w="5536" w:type="dxa"/>
            <w:shd w:val="clear" w:color="auto" w:fill="D7D7D7"/>
            <w:vAlign w:val="center"/>
          </w:tcPr>
          <w:p>
            <w:pPr>
              <w:jc w:val="center"/>
              <w:rPr>
                <w:rFonts w:ascii="宋体" w:hAnsi="宋体" w:cs="宋体"/>
                <w:b/>
                <w:szCs w:val="21"/>
              </w:rPr>
            </w:pPr>
            <w:r>
              <w:rPr>
                <w:rFonts w:hint="eastAsia" w:ascii="宋体" w:hAnsi="宋体" w:cs="宋体"/>
                <w:b/>
                <w:szCs w:val="21"/>
              </w:rPr>
              <w:t>评分</w:t>
            </w:r>
          </w:p>
        </w:tc>
        <w:tc>
          <w:tcPr>
            <w:tcW w:w="873" w:type="dxa"/>
            <w:shd w:val="clear" w:color="auto" w:fill="D7D7D7"/>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1" w:hRule="atLeast"/>
          <w:jc w:val="center"/>
        </w:trPr>
        <w:tc>
          <w:tcPr>
            <w:tcW w:w="546" w:type="dxa"/>
            <w:vAlign w:val="center"/>
          </w:tcPr>
          <w:p>
            <w:pPr>
              <w:ind w:left="105" w:hanging="105"/>
              <w:jc w:val="center"/>
              <w:rPr>
                <w:rFonts w:ascii="宋体" w:hAnsi="宋体" w:cs="宋体"/>
                <w:szCs w:val="21"/>
              </w:rPr>
            </w:pPr>
            <w:r>
              <w:rPr>
                <w:rFonts w:hint="eastAsia" w:ascii="宋体" w:hAnsi="宋体" w:cs="宋体"/>
                <w:szCs w:val="21"/>
              </w:rPr>
              <w:t>1</w:t>
            </w:r>
          </w:p>
        </w:tc>
        <w:tc>
          <w:tcPr>
            <w:tcW w:w="668" w:type="dxa"/>
            <w:vAlign w:val="center"/>
          </w:tcPr>
          <w:p>
            <w:pPr>
              <w:jc w:val="center"/>
              <w:rPr>
                <w:rFonts w:ascii="宋体" w:hAnsi="宋体" w:cs="宋体"/>
                <w:szCs w:val="21"/>
              </w:rPr>
            </w:pPr>
            <w:r>
              <w:rPr>
                <w:rFonts w:hint="eastAsia" w:ascii="宋体" w:hAnsi="宋体" w:cs="宋体"/>
                <w:szCs w:val="21"/>
              </w:rPr>
              <w:t>报价要求</w:t>
            </w:r>
          </w:p>
        </w:tc>
        <w:tc>
          <w:tcPr>
            <w:tcW w:w="614" w:type="dxa"/>
            <w:vAlign w:val="center"/>
          </w:tcPr>
          <w:p>
            <w:pPr>
              <w:ind w:left="105" w:hanging="105"/>
              <w:jc w:val="center"/>
              <w:rPr>
                <w:rFonts w:ascii="宋体" w:hAnsi="宋体" w:cs="宋体"/>
                <w:szCs w:val="21"/>
              </w:rPr>
            </w:pPr>
            <w:r>
              <w:rPr>
                <w:rFonts w:ascii="宋体" w:hAnsi="宋体" w:cs="宋体"/>
                <w:szCs w:val="21"/>
              </w:rPr>
              <w:t>3</w:t>
            </w:r>
            <w:r>
              <w:rPr>
                <w:rFonts w:hint="eastAsia" w:ascii="宋体" w:hAnsi="宋体" w:cs="宋体"/>
                <w:szCs w:val="21"/>
              </w:rPr>
              <w:t>0</w:t>
            </w:r>
          </w:p>
        </w:tc>
        <w:tc>
          <w:tcPr>
            <w:tcW w:w="5536" w:type="dxa"/>
          </w:tcPr>
          <w:p>
            <w:pPr>
              <w:widowControl/>
              <w:rPr>
                <w:rFonts w:ascii="宋体" w:hAnsi="宋体" w:cs="宋体"/>
                <w:b/>
                <w:szCs w:val="21"/>
              </w:rPr>
            </w:pPr>
            <w:r>
              <w:rPr>
                <w:rFonts w:hint="eastAsia" w:ascii="宋体" w:hAnsi="宋体"/>
                <w:szCs w:val="21"/>
              </w:rPr>
              <w:t>磋商报价得分（精确到小数点后2位）</w:t>
            </w:r>
            <w:r>
              <w:rPr>
                <w:rFonts w:ascii="宋体" w:hAnsi="宋体"/>
                <w:szCs w:val="21"/>
              </w:rPr>
              <w:t>=(</w:t>
            </w:r>
            <w:r>
              <w:rPr>
                <w:rFonts w:hint="eastAsia" w:ascii="宋体" w:hAnsi="宋体"/>
                <w:szCs w:val="21"/>
              </w:rPr>
              <w:t>磋商基准价／最后磋商报价</w:t>
            </w:r>
            <w:r>
              <w:rPr>
                <w:rFonts w:ascii="宋体" w:hAnsi="宋体"/>
                <w:szCs w:val="21"/>
              </w:rPr>
              <w:t>)</w:t>
            </w:r>
            <w:r>
              <w:rPr>
                <w:rFonts w:hint="eastAsia" w:ascii="宋体" w:hAnsi="宋体"/>
                <w:szCs w:val="21"/>
              </w:rPr>
              <w:t>×30</w:t>
            </w:r>
            <w:r>
              <w:rPr>
                <w:rFonts w:hint="eastAsia" w:ascii="宋体" w:hAnsi="宋体"/>
                <w:b/>
                <w:szCs w:val="21"/>
              </w:rPr>
              <w:t>【注：满足招标文件要求且XXXX为报价下浮率最高（相当于投标的价格最低）的为评标基准价。如：投标报价XXXX 8%为下浮率最高，评标基准价为1-8%=92%，磋商报价得分=（1-8%）/（1-8%）×</w:t>
            </w:r>
            <w:r>
              <w:rPr>
                <w:rFonts w:ascii="宋体" w:hAnsi="宋体"/>
                <w:b/>
                <w:szCs w:val="21"/>
              </w:rPr>
              <w:t>3</w:t>
            </w:r>
            <w:r>
              <w:rPr>
                <w:rFonts w:hint="eastAsia" w:ascii="宋体" w:hAnsi="宋体"/>
                <w:b/>
                <w:szCs w:val="21"/>
              </w:rPr>
              <w:t>0=</w:t>
            </w:r>
            <w:r>
              <w:rPr>
                <w:rFonts w:ascii="宋体" w:hAnsi="宋体"/>
                <w:b/>
                <w:szCs w:val="21"/>
              </w:rPr>
              <w:t>3</w:t>
            </w:r>
            <w:r>
              <w:rPr>
                <w:rFonts w:hint="eastAsia" w:ascii="宋体" w:hAnsi="宋体"/>
                <w:b/>
                <w:szCs w:val="21"/>
              </w:rPr>
              <w:t>0，得满分40分；有投标报价下浮率为5%，磋商报价得分=（1-8%）/（1-5%）×</w:t>
            </w:r>
            <w:r>
              <w:rPr>
                <w:rFonts w:ascii="宋体" w:hAnsi="宋体"/>
                <w:b/>
                <w:szCs w:val="21"/>
              </w:rPr>
              <w:t>3</w:t>
            </w:r>
            <w:r>
              <w:rPr>
                <w:rFonts w:hint="eastAsia" w:ascii="宋体" w:hAnsi="宋体"/>
                <w:b/>
                <w:szCs w:val="21"/>
              </w:rPr>
              <w:t>0=</w:t>
            </w:r>
            <w:r>
              <w:rPr>
                <w:rFonts w:ascii="宋体" w:hAnsi="宋体"/>
                <w:b/>
                <w:szCs w:val="21"/>
              </w:rPr>
              <w:t>29.05</w:t>
            </w:r>
            <w:r>
              <w:rPr>
                <w:rFonts w:hint="eastAsia" w:ascii="宋体" w:hAnsi="宋体"/>
                <w:b/>
                <w:szCs w:val="21"/>
              </w:rPr>
              <w:t>；以此类推】</w:t>
            </w:r>
          </w:p>
        </w:tc>
        <w:tc>
          <w:tcPr>
            <w:tcW w:w="873" w:type="dxa"/>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jc w:val="center"/>
        </w:trPr>
        <w:tc>
          <w:tcPr>
            <w:tcW w:w="1214" w:type="dxa"/>
            <w:gridSpan w:val="2"/>
          </w:tcPr>
          <w:p>
            <w:pPr>
              <w:ind w:left="105" w:hanging="105"/>
              <w:jc w:val="center"/>
              <w:rPr>
                <w:rFonts w:ascii="宋体" w:hAnsi="宋体" w:cs="宋体"/>
                <w:b/>
                <w:szCs w:val="21"/>
              </w:rPr>
            </w:pPr>
            <w:r>
              <w:rPr>
                <w:rFonts w:hint="eastAsia" w:ascii="宋体" w:hAnsi="宋体" w:cs="宋体"/>
                <w:b/>
                <w:szCs w:val="21"/>
              </w:rPr>
              <w:t>合计</w:t>
            </w:r>
          </w:p>
        </w:tc>
        <w:tc>
          <w:tcPr>
            <w:tcW w:w="614" w:type="dxa"/>
          </w:tcPr>
          <w:p>
            <w:pPr>
              <w:ind w:left="105" w:hanging="105"/>
              <w:jc w:val="center"/>
              <w:rPr>
                <w:rFonts w:ascii="宋体" w:hAnsi="宋体" w:cs="宋体"/>
                <w:b/>
                <w:szCs w:val="21"/>
              </w:rPr>
            </w:pPr>
            <w:r>
              <w:rPr>
                <w:rFonts w:ascii="宋体" w:hAnsi="宋体" w:cs="宋体"/>
                <w:b/>
                <w:szCs w:val="21"/>
              </w:rPr>
              <w:t>3</w:t>
            </w:r>
            <w:r>
              <w:rPr>
                <w:rFonts w:hint="eastAsia" w:ascii="宋体" w:hAnsi="宋体" w:cs="宋体"/>
                <w:b/>
                <w:szCs w:val="21"/>
              </w:rPr>
              <w:t>0</w:t>
            </w:r>
          </w:p>
        </w:tc>
        <w:tc>
          <w:tcPr>
            <w:tcW w:w="5536" w:type="dxa"/>
          </w:tcPr>
          <w:p>
            <w:pPr>
              <w:ind w:left="105" w:hanging="105"/>
              <w:jc w:val="center"/>
              <w:rPr>
                <w:rFonts w:ascii="宋体" w:hAnsi="宋体" w:cs="宋体"/>
                <w:b/>
                <w:szCs w:val="21"/>
              </w:rPr>
            </w:pPr>
            <w:r>
              <w:rPr>
                <w:rFonts w:hint="eastAsia" w:ascii="宋体" w:hAnsi="宋体" w:cs="宋体"/>
                <w:b/>
                <w:szCs w:val="21"/>
              </w:rPr>
              <w:t>得分合计</w:t>
            </w:r>
          </w:p>
        </w:tc>
        <w:tc>
          <w:tcPr>
            <w:tcW w:w="873" w:type="dxa"/>
          </w:tcPr>
          <w:p>
            <w:pPr>
              <w:spacing w:beforeLines="30"/>
              <w:ind w:left="120" w:hanging="120"/>
              <w:jc w:val="center"/>
              <w:rPr>
                <w:rFonts w:ascii="宋体" w:hAnsi="宋体" w:cs="宋体"/>
                <w:b/>
                <w:bCs/>
                <w:sz w:val="24"/>
              </w:rPr>
            </w:pP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4"/>
        <w:numPr>
          <w:ilvl w:val="0"/>
          <w:numId w:val="12"/>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rPr>
        <w:t>重要响应条款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en-US" w:eastAsia="zh-CN" w:bidi="ar-SA"/>
              </w:rPr>
              <w:t>在供货期内，如个别产品遇到停产情况或难以寻找货源的，成交供应商应优先寻找市面上同品牌同型号的货物供应，若在市面上已无货源供应，成交供应商需提前15天书面告知采购人并经采购人同意后，提供等同于或优于原参数的产品供采购人使用，不得断供，否则视为成交供应商违约。（如遇紧急情况，供货时间由成交供应商与采购人双方协商确定）</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lang w:val="en-US" w:eastAsia="zh-CN"/>
              </w:rPr>
            </w:pPr>
            <w:r>
              <w:rPr>
                <w:rFonts w:hint="eastAsia"/>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en-US" w:eastAsia="zh-CN" w:bidi="ar-SA"/>
              </w:rPr>
              <w:t>具有独立承担民事责任的能力：在中华人民共和国境内注册的法人或其他组织或自然人， 投标（响应）时提交有效的营业执照（或事业法人登记证或身份证等相关证明） 副本复印件。分公司投标的，须提供总公司和分公司营业执照副本复印件，总公司出具给分公司的授权书。</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widowControl/>
              <w:spacing w:line="360" w:lineRule="auto"/>
              <w:jc w:val="left"/>
              <w:rPr>
                <w:rFonts w:hint="eastAsia" w:asciiTheme="minorEastAsia" w:hAnsiTheme="minorEastAsia" w:eastAsiaTheme="minorEastAsia" w:cstheme="minorEastAsia"/>
                <w:kern w:val="0"/>
                <w:szCs w:val="21"/>
                <w:highlight w:val="none"/>
                <w:lang w:val="zh-TW" w:eastAsia="zh-CN"/>
              </w:rPr>
            </w:pPr>
            <w:r>
              <w:rPr>
                <w:rFonts w:hint="eastAsia" w:cs="宋体" w:asciiTheme="minorEastAsia" w:hAnsiTheme="minorEastAsia"/>
                <w:szCs w:val="21"/>
              </w:rPr>
              <w:t>★</w:t>
            </w:r>
            <w:r>
              <w:rPr>
                <w:rFonts w:hint="eastAsia" w:asciiTheme="minorEastAsia" w:hAnsiTheme="minorEastAsia" w:eastAsiaTheme="minorEastAsia" w:cstheme="minorEastAsia"/>
                <w:kern w:val="0"/>
                <w:szCs w:val="21"/>
                <w:highlight w:val="none"/>
                <w:lang w:val="zh-TW" w:eastAsia="zh-CN"/>
              </w:rPr>
              <w:t>成交供应商所提供产品的性能、配置参数等不能低于磋商文件所提出的要求。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345" w:type="dxa"/>
            <w:vAlign w:val="center"/>
          </w:tcPr>
          <w:p>
            <w:pPr>
              <w:widowControl/>
              <w:spacing w:line="360" w:lineRule="auto"/>
              <w:jc w:val="left"/>
              <w:rPr>
                <w:rFonts w:hint="eastAsia" w:asciiTheme="minorEastAsia" w:hAnsiTheme="minorEastAsia" w:eastAsiaTheme="minorEastAsia" w:cstheme="minorEastAsia"/>
                <w:kern w:val="0"/>
                <w:szCs w:val="21"/>
                <w:highlight w:val="none"/>
                <w:lang w:val="zh-TW" w:eastAsia="zh-CN"/>
              </w:rPr>
            </w:pPr>
            <w:r>
              <w:rPr>
                <w:rFonts w:hint="eastAsia" w:cs="宋体" w:asciiTheme="minorEastAsia" w:hAnsiTheme="minorEastAsia"/>
                <w:szCs w:val="21"/>
              </w:rPr>
              <w:t>★</w:t>
            </w:r>
            <w:r>
              <w:rPr>
                <w:rFonts w:hint="eastAsia" w:asciiTheme="minorEastAsia" w:hAnsiTheme="minorEastAsia" w:eastAsiaTheme="minorEastAsia" w:cstheme="minorEastAsia"/>
                <w:kern w:val="0"/>
                <w:szCs w:val="21"/>
                <w:highlight w:val="none"/>
                <w:lang w:val="zh-TW" w:eastAsia="zh-CN"/>
              </w:rPr>
              <w:t>若成交供应商提供的货物因无法匹配配电房及各区电井的需求而导致的任何事故，全部责任及损失均由成交供应商自行负责，采购人有权单方终止合同。</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CN" w:bidi="ar-SA"/>
              </w:rPr>
              <w:t>供应商对采购物品的单价报出统一的投标下浮率，下浮率在0%（含本数）-100%（含本数）范围内取值，若报价超出此范围则投标无效。</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协议供货期间的价格：各类货物实际供货价=单价上限值×（1-投标下浮率）。在合同期内，成交价即是合同期间的最终价格，成交价（1-下浮率）不再随着市场同类商品市场价格的调整而进行调整。</w:t>
            </w:r>
          </w:p>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例：采购人采购多功能电能表1个，多功能电能表单价上限值为1760.00元/个，成交供应商的下浮率为8%，则管道泵实际供货价=1760.00元×（1-8%）=1619.20元。</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9</w:t>
            </w:r>
          </w:p>
        </w:tc>
        <w:tc>
          <w:tcPr>
            <w:tcW w:w="6345" w:type="dxa"/>
            <w:vAlign w:val="center"/>
          </w:tcPr>
          <w:p>
            <w:pPr>
              <w:pStyle w:val="19"/>
              <w:spacing w:line="360" w:lineRule="auto"/>
              <w:ind w:left="0" w:leftChars="0" w:firstLine="0" w:firstLineChars="0"/>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成交供应商逾期交货的，则每逾期一天按约定未足额交付货物的部分金额的5‰支付违约金给采购人。如超过合同规定交货期限10天成交供应商仍不能交货的，则视为成交供应商不能交货，成交供应商不能交货的，则按约定未足额交付货物的部分金额30%支付违约金给采购人。同时，采购人有权单方面解除合同且履约保证金不再退还。如上述违约金及履约保证金的金额仍不足以补偿采购人因成交供应商违约造成的损失，采购人有权进一步向成交供应商提出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rPr>
        <w:t>重要评分条款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en-US" w:eastAsia="zh-CN" w:bidi="ar-SA"/>
              </w:rPr>
              <w:t>交货方式：一年内分批交货，非紧急货物在接到采购人通知后2个工作日内将所需货物送至交货地点，紧急货物在接到采购人通知后2小时内将所需货物送至交货地点。</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r>
              <w:rPr>
                <w:rFonts w:hint="eastAsia" w:ascii="宋体" w:hAnsi="宋体" w:eastAsia="宋体" w:cs="宋体"/>
                <w:bCs/>
                <w:kern w:val="2"/>
                <w:sz w:val="21"/>
                <w:szCs w:val="21"/>
                <w:lang w:val="en-US" w:eastAsia="zh-CN" w:bidi="ar-SA"/>
              </w:rPr>
              <w:t>▲货物在质保期内如有质量问题时，成交供应商必须对采购人提出的质量异议在1小时内予以响应并针对问题提出解决办法，2小时内到达现场，解决问题的时限为到达现场后3小时内。如到场后3小时内仍无法解决或需更换的，成交供应商应另行提供等同或优于原参数的产品供采购人使用。未能及时完成修理或更换的，采购人有权自行购买更换，所支付费用从履约保证金中扣除。</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pStyle w:val="19"/>
              <w:numPr>
                <w:ilvl w:val="0"/>
                <w:numId w:val="0"/>
              </w:numPr>
              <w:spacing w:line="360" w:lineRule="auto"/>
              <w:rPr>
                <w:rFonts w:hint="eastAsia" w:cs="宋体" w:asciiTheme="minorEastAsia" w:hAnsiTheme="minorEastAsia"/>
                <w:szCs w:val="21"/>
              </w:rPr>
            </w:pPr>
            <w:r>
              <w:rPr>
                <w:rFonts w:hint="eastAsia" w:ascii="宋体" w:hAnsi="宋体" w:eastAsia="宋体" w:cs="宋体"/>
                <w:bCs/>
                <w:kern w:val="2"/>
                <w:sz w:val="21"/>
                <w:szCs w:val="21"/>
                <w:lang w:val="en-US" w:eastAsia="zh-CN" w:bidi="ar-SA"/>
              </w:rPr>
              <w:t>▲质保期内，成交供应商提供24小时响应服务。成交供应商需指定一名人员为本项目负责人，负责人要保证服务电话24小时保持畅通。</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评分条款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04"/>
        <w:gridCol w:w="5241"/>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gridSpan w:val="2"/>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auto"/>
                <w:kern w:val="0"/>
                <w:sz w:val="21"/>
                <w:szCs w:val="21"/>
                <w:highlight w:val="none"/>
                <w:lang w:val="zh-CN" w:eastAsia="zh-CN" w:bidi="ar-SA"/>
              </w:rPr>
              <w:t>项目基本要求</w:t>
            </w:r>
          </w:p>
        </w:tc>
        <w:tc>
          <w:tcPr>
            <w:tcW w:w="5241" w:type="dxa"/>
            <w:vAlign w:val="center"/>
          </w:tcPr>
          <w:p>
            <w:pPr>
              <w:pStyle w:val="19"/>
              <w:numPr>
                <w:ilvl w:val="0"/>
                <w:numId w:val="0"/>
              </w:numPr>
              <w:spacing w:line="300" w:lineRule="auto"/>
              <w:rPr>
                <w:rFonts w:hint="eastAsia" w:ascii="宋体" w:hAnsi="宋体" w:eastAsia="宋体" w:cs="宋体"/>
                <w:bCs/>
                <w:kern w:val="2"/>
                <w:sz w:val="21"/>
                <w:szCs w:val="21"/>
                <w:lang w:val="en-US" w:eastAsia="zh-CN" w:bidi="ar-SA"/>
              </w:rPr>
            </w:pPr>
            <w:r>
              <w:rPr>
                <w:rFonts w:hint="eastAsia"/>
              </w:rPr>
              <w:t>未经采购人同意，成交供应商不得以任何方式转包或分包本项目。</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cs="宋体" w:asciiTheme="minorEastAsia" w:hAnsiTheme="minorEastAsia"/>
                <w:szCs w:val="21"/>
              </w:rPr>
            </w:pPr>
          </w:p>
        </w:tc>
        <w:tc>
          <w:tcPr>
            <w:tcW w:w="5241" w:type="dxa"/>
            <w:vAlign w:val="center"/>
          </w:tcPr>
          <w:p>
            <w:pPr>
              <w:pStyle w:val="19"/>
              <w:numPr>
                <w:ilvl w:val="0"/>
                <w:numId w:val="0"/>
              </w:numPr>
              <w:spacing w:line="300" w:lineRule="auto"/>
              <w:rPr>
                <w:rFonts w:hint="eastAsia" w:eastAsia="宋体" w:cs="宋体" w:asciiTheme="minorEastAsia" w:hAnsiTheme="minorEastAsia"/>
                <w:kern w:val="2"/>
                <w:sz w:val="18"/>
                <w:szCs w:val="21"/>
                <w:lang w:val="zh-TW" w:eastAsia="zh-TW" w:bidi="zh-TW"/>
              </w:rPr>
            </w:pPr>
            <w:r>
              <w:rPr>
                <w:rFonts w:hint="eastAsia"/>
                <w:lang w:val="zh-TW" w:eastAsia="zh-TW"/>
              </w:rPr>
              <w:t>如果在供货、安装、调试、培训等工作中出现的任何遗漏，均由成交供应商负责，采购人将不再支付任何费用。</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cs="宋体" w:asciiTheme="minorEastAsia" w:hAnsiTheme="minorEastAsia"/>
                <w:szCs w:val="21"/>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eastAsia="宋体" w:cs="宋体" w:asciiTheme="minorEastAsia" w:hAnsiTheme="minorEastAsia"/>
                <w:kern w:val="2"/>
                <w:sz w:val="18"/>
                <w:szCs w:val="21"/>
                <w:lang w:val="zh-TW" w:eastAsia="zh-TW" w:bidi="zh-TW"/>
              </w:rPr>
            </w:pPr>
            <w:r>
              <w:rPr>
                <w:rFonts w:hint="eastAsia" w:ascii="Calibri" w:hAnsi="Calibri" w:eastAsia="宋体" w:cs="Times New Roman"/>
                <w:kern w:val="2"/>
                <w:sz w:val="21"/>
                <w:szCs w:val="22"/>
                <w:lang w:val="zh-TW" w:eastAsia="zh-TW" w:bidi="ar-SA"/>
              </w:rPr>
              <w:t>本项目自合同签订之日起，协议供货时间为1年。本次采购为协议供货资格的取得，并不代表货物已售出，采购人无法预计也无法保证向成交供应商的品种及数量。采购人按照本单位使用情况下单所需物品数量，成交供应商不得对采购人所采购物品数量作要求或质疑。项目以协议供货期限到期或采购累计金额达到项目预算金额为结束时间点（按先达到的为准）。</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货物产地及标准</w:t>
            </w: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成交供应商应提供已注册品牌制造商原装、全新、符合国家及采购人提出的有关质量标准的产品。</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所有货物在开箱检验时必须完好，无破损，配置与装箱单相符。</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漏电附件、漏电开关、空气开关等产品提供制造商出具的合格证等质量证明文件。出厂合格证，序列号、包装箱号与出厂批号一致，并可追索查阅，所有随产品的附件必须齐全。</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包装、装卸、运输、保管及保险</w:t>
            </w: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成交供应商所供货物包装质量必须符合国家相关标准，货物的包装均应有良好的防锈、防腐的措施，货物要求有包装保护运至现场。凡由于包装不良造成的损失和由此产生的费用均由成交供应商承担。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成交供应商负责根据用户指定的地点，将货物送到现场过程中的全部运输，包括装卸车、货物现场的搬运，由此产生的费用均由成交供应商承担。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如货物运输过程中因事故造成货物短缺、损坏，成交供应商应及时安排换货，以保证合同货物及时交付，换货的相关费用由成交供应商承担。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货物的质量保险由成交供应商负责，成交供应商负责其派出的现场服务人员人身意外保险。</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验收</w:t>
            </w: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成交供应商将货物送货至采购人指定地点后，由采购人按照采购合同、采购文件要求和响应文件承诺进行核对，根据国家相关法律法规，对货物的规格参数和质量标准进行检查验收。</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货物在验收过程中发现所交付的货物有短缺、次品、损坏或其他不符合磋商文件、合同规定之情形者，采购人有权拒付该批物品的费用，并由成交供应商承担由此发生的一切费用和损失。</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所有货物在使用过程中发现以次充好或使用假冒伪劣产品的，成交供应商除无条件更换货物外，采购人还需按成交货物价格*更换货物数量之总值的5倍金额扣除成交供应商的履约保证金。此种情况超过2次或以上的，履约保证金不予以退还，采购人有权单方终止合同。</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因质量问题发生争议时，由地级市或以上的质检部门进行相关鉴定，鉴定费用先由成交供应商垫付，鉴定结果符合质量技术要求，发生的所有鉴定费用由采购人承担；鉴定结果不符合质量技术要求，发生的所有鉴定费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en-US" w:eastAsia="zh-CN"/>
              </w:rPr>
            </w:pP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若成交供应商提供的产品发生知识产权纠纷的，由成交供应商执行处置与原知识产权所有者协商解决，采购人不承担与之相关的任何经济和法律责任。</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1104"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r>
              <w:rPr>
                <w:rFonts w:hint="eastAsia" w:ascii="宋体" w:hAnsi="宋体" w:eastAsia="宋体" w:cs="宋体"/>
                <w:color w:val="auto"/>
                <w:kern w:val="0"/>
                <w:sz w:val="21"/>
                <w:szCs w:val="21"/>
                <w:highlight w:val="none"/>
                <w:lang w:val="zh-CN" w:eastAsia="zh-CN" w:bidi="ar-SA"/>
              </w:rPr>
              <w:t>投标报价要求</w:t>
            </w: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供应商报价应为人民币含税全包价，包含货物、包装费、运杂费、保险费、卸车费、配合费、检测费、配送费、税金及供应商认为需要的所有费用，采购人不再单独支付其他费用。</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r>
              <w:rPr>
                <w:rFonts w:hint="eastAsia" w:ascii="宋体" w:hAnsi="宋体" w:eastAsia="宋体" w:cs="宋体"/>
                <w:color w:val="auto"/>
                <w:kern w:val="0"/>
                <w:sz w:val="21"/>
                <w:szCs w:val="21"/>
                <w:highlight w:val="none"/>
                <w:lang w:val="zh-CN" w:eastAsia="zh-CN" w:bidi="ar-SA"/>
              </w:rPr>
              <w:t>质保期及售后服务要求</w:t>
            </w: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成交供应商所提供的货物应是全新正品，其质量、规格满足用户需求，且必须符合国家行业生产及经营标准，货真价实，均能提供相应的合格证明资料。</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因成交供应商所供应的货物质量问题造成采购人设备故障或出现严重事故的，由成交供应商负责维修，所造成的一切损失及责任由成交</w:t>
            </w:r>
            <w:bookmarkStart w:id="6" w:name="_GoBack"/>
            <w:bookmarkEnd w:id="6"/>
            <w:r>
              <w:rPr>
                <w:rFonts w:hint="eastAsia" w:ascii="Calibri" w:hAnsi="Calibri" w:eastAsia="宋体" w:cs="Times New Roman"/>
                <w:kern w:val="2"/>
                <w:sz w:val="21"/>
                <w:szCs w:val="22"/>
                <w:lang w:val="zh-TW" w:eastAsia="zh-TW" w:bidi="ar-SA"/>
              </w:rPr>
              <w:t>供应承担。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pStyle w:val="2"/>
        <w:rPr>
          <w:rFonts w:hint="eastAsia"/>
          <w:lang w:val="en-US" w:eastAsia="zh-CN"/>
        </w:rPr>
      </w:pPr>
    </w:p>
    <w:p>
      <w:pPr>
        <w:pStyle w:val="2"/>
        <w:rPr>
          <w:rFonts w:hint="eastAsia" w:ascii="仿宋" w:hAnsi="仿宋" w:eastAsia="仿宋" w:cs="仿宋"/>
          <w:color w:val="auto"/>
          <w:sz w:val="24"/>
        </w:rPr>
      </w:pPr>
    </w:p>
    <w:p>
      <w:pPr>
        <w:pStyle w:val="2"/>
        <w:rPr>
          <w:rFonts w:hint="eastAsia" w:ascii="仿宋" w:hAnsi="仿宋" w:eastAsia="仿宋" w:cs="仿宋"/>
          <w:color w:val="auto"/>
          <w:sz w:val="24"/>
        </w:rPr>
      </w:pPr>
      <w:r>
        <w:rPr>
          <w:rFonts w:hint="eastAsia" w:ascii="仿宋" w:hAnsi="仿宋" w:eastAsia="仿宋" w:cs="仿宋"/>
          <w:color w:val="auto"/>
          <w:sz w:val="24"/>
        </w:rPr>
        <w:t>招标文件中关键条款，投标供应商必须对此作出回答并完全满足这些要求不可以出现任何负偏离，对这些关键条款的任何负偏离将视为无效投标。</w:t>
      </w:r>
      <w:r>
        <w:rPr>
          <w:rFonts w:hint="eastAsia" w:ascii="仿宋" w:hAnsi="仿宋" w:eastAsia="仿宋" w:cs="仿宋"/>
          <w:color w:val="auto"/>
          <w:sz w:val="24"/>
          <w:lang w:val="en-US" w:eastAsia="zh-CN"/>
        </w:rPr>
        <w:t>重点条款</w:t>
      </w:r>
      <w:r>
        <w:rPr>
          <w:rFonts w:hint="eastAsia" w:ascii="仿宋" w:hAnsi="仿宋" w:eastAsia="仿宋" w:cs="仿宋"/>
          <w:color w:val="auto"/>
          <w:sz w:val="24"/>
        </w:rPr>
        <w:t>为重点评标项目，投标供应商必须对该标识项目按照要求进行真实应答描述。</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7"/>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仿宋" w:hAnsi="仿宋" w:eastAsia="仿宋" w:cs="仿宋"/>
          <w:color w:val="auto"/>
          <w:sz w:val="24"/>
          <w:lang w:val="en-US" w:eastAsia="zh-CN"/>
        </w:rPr>
      </w:pPr>
    </w:p>
    <w:p>
      <w:pPr>
        <w:pStyle w:val="2"/>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备注：下浮率：（最高单价现价-报价）/最高单价现价*100%</w:t>
      </w: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pStyle w:val="7"/>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numPr>
          <w:ilvl w:val="0"/>
          <w:numId w:val="13"/>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业绩证明材料</w:t>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项目实施方案（自拟）</w:t>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配送服务方案（自拟）</w:t>
      </w:r>
      <w:r>
        <w:rPr>
          <w:rFonts w:hint="eastAsia" w:ascii="宋体" w:hAnsi="宋体" w:cs="宋体"/>
          <w:color w:val="auto"/>
          <w:sz w:val="24"/>
          <w:szCs w:val="24"/>
          <w:highlight w:val="none"/>
          <w:lang w:val="en-US" w:eastAsia="zh-CN"/>
        </w:rPr>
        <w:tab/>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应急保障方案（自拟）</w:t>
      </w:r>
    </w:p>
    <w:p>
      <w:pPr>
        <w:pStyle w:val="2"/>
      </w:pPr>
    </w:p>
    <w:p>
      <w:pPr>
        <w:pStyle w:val="2"/>
        <w:rPr>
          <w:rFonts w:hint="default"/>
          <w:lang w:val="en-US"/>
        </w:rPr>
      </w:pPr>
    </w:p>
    <w:p>
      <w:pPr>
        <w:pStyle w:val="2"/>
        <w:rPr>
          <w:rFonts w:hint="default"/>
          <w:lang w:val="en-US"/>
        </w:rPr>
      </w:pPr>
    </w:p>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2">
    <w:nsid w:val="00B95F47"/>
    <w:multiLevelType w:val="multilevel"/>
    <w:tmpl w:val="00B95F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4F3416"/>
    <w:multiLevelType w:val="multilevel"/>
    <w:tmpl w:val="0A4F3416"/>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26569CE"/>
    <w:multiLevelType w:val="multilevel"/>
    <w:tmpl w:val="126569CE"/>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B12AB2"/>
    <w:multiLevelType w:val="multilevel"/>
    <w:tmpl w:val="25B12A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649E3F83"/>
    <w:multiLevelType w:val="multilevel"/>
    <w:tmpl w:val="649E3F83"/>
    <w:lvl w:ilvl="0" w:tentative="0">
      <w:start w:val="1"/>
      <w:numFmt w:val="decimal"/>
      <w:lvlText w:val="%1"/>
      <w:lvlJc w:val="center"/>
      <w:pPr>
        <w:ind w:left="415" w:hanging="132"/>
      </w:pPr>
      <w:rPr>
        <w:rFonts w:hint="default" w:ascii="Times New Roman" w:hAnsi="Times New Roman" w:eastAsia="宋体"/>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977239"/>
    <w:multiLevelType w:val="multilevel"/>
    <w:tmpl w:val="6A9772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FEF5E58"/>
    <w:multiLevelType w:val="singleLevel"/>
    <w:tmpl w:val="6FEF5E58"/>
    <w:lvl w:ilvl="0" w:tentative="0">
      <w:start w:val="1"/>
      <w:numFmt w:val="decimal"/>
      <w:lvlText w:val="%1."/>
      <w:lvlJc w:val="left"/>
      <w:pPr>
        <w:ind w:left="425" w:hanging="425"/>
      </w:pPr>
      <w:rPr>
        <w:rFonts w:hint="default"/>
      </w:rPr>
    </w:lvl>
  </w:abstractNum>
  <w:abstractNum w:abstractNumId="13">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1"/>
  </w:num>
  <w:num w:numId="2">
    <w:abstractNumId w:val="8"/>
  </w:num>
  <w:num w:numId="3">
    <w:abstractNumId w:val="9"/>
  </w:num>
  <w:num w:numId="4">
    <w:abstractNumId w:val="4"/>
  </w:num>
  <w:num w:numId="5">
    <w:abstractNumId w:val="13"/>
  </w:num>
  <w:num w:numId="6">
    <w:abstractNumId w:val="10"/>
  </w:num>
  <w:num w:numId="7">
    <w:abstractNumId w:val="6"/>
  </w:num>
  <w:num w:numId="8">
    <w:abstractNumId w:val="11"/>
  </w:num>
  <w:num w:numId="9">
    <w:abstractNumId w:val="3"/>
  </w:num>
  <w:num w:numId="10">
    <w:abstractNumId w:val="5"/>
  </w:num>
  <w:num w:numId="11">
    <w:abstractNumId w:val="2"/>
  </w:num>
  <w:num w:numId="12">
    <w:abstractNumId w:val="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81F74CC"/>
    <w:rsid w:val="29244CA4"/>
    <w:rsid w:val="30EF160C"/>
    <w:rsid w:val="35283ED8"/>
    <w:rsid w:val="37547E2F"/>
    <w:rsid w:val="3AD0127C"/>
    <w:rsid w:val="3FC2617B"/>
    <w:rsid w:val="41FA65F1"/>
    <w:rsid w:val="44E22451"/>
    <w:rsid w:val="52FD75B3"/>
    <w:rsid w:val="56866FF4"/>
    <w:rsid w:val="5CED35B2"/>
    <w:rsid w:val="6402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5">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13376</Words>
  <Characters>15573</Characters>
  <Lines>0</Lines>
  <Paragraphs>0</Paragraphs>
  <TotalTime>5</TotalTime>
  <ScaleCrop>false</ScaleCrop>
  <LinksUpToDate>false</LinksUpToDate>
  <CharactersWithSpaces>16255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2023-07-19T08:03:25Z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458626D67B3B47FBBC1232D4543C5235</vt:lpwstr>
  </property>
</Properties>
</file>