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44"/>
          <w:szCs w:val="44"/>
        </w:rPr>
      </w:pPr>
    </w:p>
    <w:p>
      <w:pPr>
        <w:spacing w:line="440" w:lineRule="exact"/>
        <w:rPr>
          <w:sz w:val="32"/>
          <w:szCs w:val="32"/>
        </w:rPr>
      </w:pPr>
      <w:r>
        <w:rPr>
          <w:rFonts w:hint="eastAsia"/>
          <w:sz w:val="32"/>
          <w:szCs w:val="32"/>
        </w:rPr>
        <w:t>致中山市小榄人民医院：</w:t>
      </w:r>
    </w:p>
    <w:tbl>
      <w:tblPr>
        <w:tblStyle w:val="11"/>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lang w:val="en-US" w:eastAsia="zh-CN"/>
              </w:rPr>
              <w:t>项目</w:t>
            </w:r>
            <w:r>
              <w:rPr>
                <w:rFonts w:hint="eastAsia"/>
                <w:sz w:val="28"/>
                <w:szCs w:val="28"/>
              </w:rPr>
              <w:t>名称</w:t>
            </w:r>
          </w:p>
        </w:tc>
        <w:tc>
          <w:tcPr>
            <w:tcW w:w="4650" w:type="dxa"/>
          </w:tcPr>
          <w:p>
            <w:pPr>
              <w:jc w:val="center"/>
              <w:rPr>
                <w:sz w:val="28"/>
                <w:szCs w:val="28"/>
              </w:rPr>
            </w:pPr>
            <w:r>
              <w:rPr>
                <w:rFonts w:hint="eastAsia"/>
                <w:sz w:val="28"/>
                <w:szCs w:val="28"/>
              </w:rPr>
              <w:t xml:space="preserve"> 飞利浦Brilliance iCT保修服务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rFonts w:hint="default" w:eastAsia="宋体"/>
                <w:sz w:val="28"/>
                <w:szCs w:val="28"/>
                <w:lang w:val="en-US" w:eastAsia="zh-CN"/>
              </w:rPr>
            </w:pPr>
            <w:r>
              <w:rPr>
                <w:rFonts w:hint="eastAsia"/>
                <w:sz w:val="28"/>
                <w:szCs w:val="28"/>
                <w:lang w:val="en-US" w:eastAsia="zh-CN"/>
              </w:rPr>
              <w:t>服务企业性质</w:t>
            </w:r>
          </w:p>
        </w:tc>
        <w:tc>
          <w:tcPr>
            <w:tcW w:w="4650" w:type="dxa"/>
          </w:tcPr>
          <w:p>
            <w:pPr>
              <w:spacing w:line="360" w:lineRule="auto"/>
              <w:jc w:val="left"/>
              <w:rPr>
                <w:sz w:val="28"/>
                <w:szCs w:val="28"/>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rPr>
              <w:t>数量</w:t>
            </w:r>
          </w:p>
        </w:tc>
        <w:tc>
          <w:tcPr>
            <w:tcW w:w="4650" w:type="dxa"/>
          </w:tcPr>
          <w:p>
            <w:pPr>
              <w:jc w:val="center"/>
              <w:rPr>
                <w:rFonts w:hint="default" w:eastAsia="宋体"/>
                <w:sz w:val="28"/>
                <w:szCs w:val="28"/>
                <w:lang w:val="en-US" w:eastAsia="zh-CN"/>
              </w:rPr>
            </w:pPr>
            <w:r>
              <w:rPr>
                <w:rFonts w:hint="eastAsia"/>
                <w:sz w:val="28"/>
                <w:szCs w:val="28"/>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rPr>
              <w:t>单价（元）</w:t>
            </w:r>
          </w:p>
        </w:tc>
        <w:tc>
          <w:tcPr>
            <w:tcW w:w="465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rPr>
              <w:t>总价（元）</w:t>
            </w:r>
          </w:p>
        </w:tc>
        <w:tc>
          <w:tcPr>
            <w:tcW w:w="465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2344" w:type="dxa"/>
          </w:tcPr>
          <w:p>
            <w:pPr>
              <w:jc w:val="center"/>
              <w:rPr>
                <w:rFonts w:hint="eastAsia" w:eastAsia="宋体"/>
                <w:sz w:val="28"/>
                <w:szCs w:val="28"/>
                <w:lang w:val="en-US" w:eastAsia="zh-CN"/>
              </w:rPr>
            </w:pPr>
            <w:r>
              <w:rPr>
                <w:rFonts w:hint="eastAsia"/>
                <w:sz w:val="28"/>
                <w:szCs w:val="28"/>
                <w:lang w:val="en-US" w:eastAsia="zh-CN"/>
              </w:rPr>
              <w:t>备注</w:t>
            </w:r>
          </w:p>
        </w:tc>
        <w:tc>
          <w:tcPr>
            <w:tcW w:w="4650" w:type="dxa"/>
          </w:tcPr>
          <w:p>
            <w:pPr>
              <w:jc w:val="center"/>
              <w:rPr>
                <w:sz w:val="28"/>
                <w:szCs w:val="28"/>
              </w:rPr>
            </w:pPr>
          </w:p>
        </w:tc>
      </w:tr>
    </w:tbl>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left"/>
        <w:rPr>
          <w:rFonts w:hint="eastAsia"/>
          <w:sz w:val="28"/>
          <w:szCs w:val="28"/>
        </w:rPr>
      </w:pPr>
    </w:p>
    <w:p>
      <w:pPr>
        <w:jc w:val="left"/>
        <w:rPr>
          <w:sz w:val="28"/>
          <w:szCs w:val="28"/>
        </w:rPr>
      </w:pPr>
      <w:r>
        <w:rPr>
          <w:rFonts w:hint="eastAsia"/>
          <w:sz w:val="28"/>
          <w:szCs w:val="28"/>
        </w:rPr>
        <w:t>报价公司（盖章）：</w:t>
      </w:r>
    </w:p>
    <w:p>
      <w:pPr>
        <w:jc w:val="left"/>
        <w:rPr>
          <w:sz w:val="28"/>
          <w:szCs w:val="28"/>
        </w:rPr>
      </w:pPr>
      <w:r>
        <w:rPr>
          <w:rFonts w:hint="eastAsia"/>
          <w:sz w:val="28"/>
          <w:szCs w:val="28"/>
        </w:rPr>
        <w:t>报价联系人：</w:t>
      </w:r>
    </w:p>
    <w:p>
      <w:pPr>
        <w:jc w:val="left"/>
        <w:rPr>
          <w:sz w:val="28"/>
          <w:szCs w:val="28"/>
        </w:rPr>
      </w:pPr>
      <w:r>
        <w:rPr>
          <w:rFonts w:hint="eastAsia"/>
          <w:sz w:val="28"/>
          <w:szCs w:val="28"/>
        </w:rPr>
        <w:t>联系方式：</w:t>
      </w:r>
    </w:p>
    <w:p>
      <w:pPr>
        <w:jc w:val="left"/>
        <w:rPr>
          <w:sz w:val="28"/>
          <w:szCs w:val="28"/>
        </w:rPr>
      </w:pPr>
      <w:r>
        <w:rPr>
          <w:rFonts w:hint="eastAsia"/>
          <w:sz w:val="28"/>
          <w:szCs w:val="28"/>
        </w:rPr>
        <w:t>邮箱：</w:t>
      </w:r>
    </w:p>
    <w:p>
      <w:pPr>
        <w:jc w:val="left"/>
        <w:rPr>
          <w:sz w:val="28"/>
          <w:szCs w:val="28"/>
        </w:rPr>
      </w:pPr>
      <w:r>
        <w:rPr>
          <w:rFonts w:hint="eastAsia"/>
          <w:sz w:val="28"/>
          <w:szCs w:val="28"/>
        </w:rPr>
        <w:t>报价时间：</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rFonts w:hint="eastAsia"/>
          <w:color w:val="0000FF"/>
          <w:sz w:val="24"/>
        </w:rPr>
      </w:pPr>
      <w:r>
        <w:rPr>
          <w:rFonts w:hint="eastAsia"/>
          <w:color w:val="0000FF"/>
          <w:sz w:val="24"/>
          <w:lang w:val="en-US" w:eastAsia="zh-CN"/>
        </w:rPr>
        <w:t>报价须同时</w:t>
      </w:r>
      <w:r>
        <w:rPr>
          <w:rFonts w:hint="eastAsia"/>
          <w:color w:val="0000FF"/>
          <w:sz w:val="24"/>
        </w:rPr>
        <w:t>提供</w:t>
      </w:r>
      <w:r>
        <w:rPr>
          <w:rFonts w:hint="eastAsia"/>
          <w:color w:val="0000FF"/>
          <w:sz w:val="24"/>
          <w:lang w:val="en-US" w:eastAsia="zh-CN"/>
        </w:rPr>
        <w:t>以下</w:t>
      </w:r>
      <w:r>
        <w:rPr>
          <w:rFonts w:hint="eastAsia"/>
          <w:color w:val="0000FF"/>
          <w:sz w:val="24"/>
        </w:rPr>
        <w:t>资料：</w:t>
      </w:r>
    </w:p>
    <w:p>
      <w:pPr>
        <w:spacing w:line="440" w:lineRule="exact"/>
        <w:rPr>
          <w:rFonts w:hint="eastAsia"/>
          <w:b/>
          <w:sz w:val="24"/>
        </w:rPr>
      </w:pPr>
      <w:r>
        <w:rPr>
          <w:rFonts w:hint="eastAsia"/>
          <w:b/>
          <w:bCs/>
          <w:color w:val="0000FF"/>
          <w:sz w:val="24"/>
          <w:lang w:val="en-US" w:eastAsia="zh-CN"/>
        </w:rPr>
        <w:t>报价单、用户需求</w:t>
      </w:r>
      <w:r>
        <w:rPr>
          <w:rFonts w:hint="eastAsia"/>
          <w:b/>
          <w:color w:val="0000FF"/>
          <w:sz w:val="24"/>
        </w:rPr>
        <w:t>偏离情况表、供应商</w:t>
      </w:r>
      <w:r>
        <w:rPr>
          <w:rFonts w:hint="eastAsia"/>
          <w:b/>
          <w:color w:val="0000FF"/>
          <w:sz w:val="24"/>
          <w:lang w:val="en-US" w:eastAsia="zh-CN"/>
        </w:rPr>
        <w:t>资质</w:t>
      </w:r>
      <w:r>
        <w:rPr>
          <w:rFonts w:hint="eastAsia"/>
          <w:b/>
          <w:color w:val="0000FF"/>
          <w:sz w:val="24"/>
        </w:rPr>
        <w:t>证件</w:t>
      </w:r>
      <w:r>
        <w:rPr>
          <w:rFonts w:hint="eastAsia"/>
          <w:b/>
          <w:color w:val="0000FF"/>
          <w:sz w:val="24"/>
          <w:lang w:eastAsia="zh-CN"/>
        </w:rPr>
        <w:t>、</w:t>
      </w:r>
      <w:r>
        <w:rPr>
          <w:rFonts w:hint="eastAsia"/>
          <w:b/>
          <w:color w:val="0000FF"/>
          <w:sz w:val="24"/>
          <w:lang w:val="en-US" w:eastAsia="zh-CN"/>
        </w:rPr>
        <w:t>服务方案</w:t>
      </w:r>
      <w:r>
        <w:rPr>
          <w:rFonts w:hint="eastAsia"/>
          <w:b/>
          <w:color w:val="0000FF"/>
          <w:sz w:val="24"/>
        </w:rPr>
        <w:t>等。</w:t>
      </w:r>
    </w:p>
    <w:p>
      <w:pPr>
        <w:spacing w:line="440" w:lineRule="exact"/>
        <w:jc w:val="center"/>
        <w:rPr>
          <w:rFonts w:hint="eastAsia"/>
          <w:b/>
          <w:sz w:val="32"/>
          <w:szCs w:val="32"/>
          <w:lang w:val="en-US" w:eastAsia="zh-CN"/>
        </w:rPr>
      </w:pPr>
    </w:p>
    <w:p>
      <w:pPr>
        <w:spacing w:line="440" w:lineRule="exact"/>
        <w:jc w:val="center"/>
        <w:rPr>
          <w:b/>
          <w:sz w:val="32"/>
          <w:szCs w:val="32"/>
        </w:rPr>
      </w:pPr>
      <w:r>
        <w:rPr>
          <w:rFonts w:hint="eastAsia"/>
          <w:b/>
          <w:sz w:val="32"/>
          <w:szCs w:val="32"/>
          <w:lang w:val="en-US" w:eastAsia="zh-CN"/>
        </w:rPr>
        <w:t>用户需求</w:t>
      </w:r>
      <w:r>
        <w:rPr>
          <w:rFonts w:hint="eastAsia"/>
          <w:b/>
          <w:sz w:val="32"/>
          <w:szCs w:val="32"/>
        </w:rPr>
        <w:t>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要求逐条响应，正负偏离参数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、其中带★的参数是必须完全响应的参数。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b/>
          <w:bCs/>
          <w:sz w:val="24"/>
          <w:lang w:val="en-US" w:eastAsia="zh-CN"/>
        </w:rPr>
        <w:t>参数满足率≥90%。</w:t>
      </w:r>
    </w:p>
    <w:p>
      <w:pPr>
        <w:numPr>
          <w:ilvl w:val="0"/>
          <w:numId w:val="0"/>
        </w:numPr>
        <w:tabs>
          <w:tab w:val="left" w:pos="720"/>
        </w:tabs>
        <w:spacing w:line="340" w:lineRule="exact"/>
        <w:jc w:val="center"/>
        <w:rPr>
          <w:rFonts w:hint="eastAsia" w:asciiTheme="minorEastAsia" w:hAnsiTheme="minorEastAsia" w:eastAsiaTheme="minorEastAsia" w:cstheme="minorEastAsia"/>
          <w:color w:val="FF0000"/>
          <w:sz w:val="24"/>
        </w:rPr>
      </w:pPr>
    </w:p>
    <w:p>
      <w:pPr>
        <w:numPr>
          <w:ilvl w:val="0"/>
          <w:numId w:val="0"/>
        </w:numPr>
        <w:tabs>
          <w:tab w:val="left" w:pos="720"/>
        </w:tabs>
        <w:spacing w:line="340" w:lineRule="exact"/>
        <w:jc w:val="center"/>
        <w:rPr>
          <w:rFonts w:ascii="宋体" w:hAnsi="宋体"/>
          <w:b/>
          <w:bCs/>
          <w:sz w:val="30"/>
          <w:szCs w:val="30"/>
        </w:rPr>
      </w:pPr>
      <w:r>
        <w:rPr>
          <w:rFonts w:hint="eastAsia" w:asciiTheme="minorEastAsia" w:hAnsiTheme="minorEastAsia" w:eastAsiaTheme="minorEastAsia" w:cstheme="minorEastAsia"/>
          <w:color w:val="FF0000"/>
          <w:sz w:val="24"/>
        </w:rPr>
        <w:t>（请按用户需求</w:t>
      </w:r>
      <w:r>
        <w:rPr>
          <w:rFonts w:hint="eastAsia" w:asciiTheme="minorEastAsia" w:hAnsiTheme="minorEastAsia" w:eastAsiaTheme="minorEastAsia" w:cstheme="minorEastAsia"/>
          <w:color w:val="FF0000"/>
          <w:sz w:val="24"/>
          <w:lang w:val="en-US" w:eastAsia="zh-CN"/>
        </w:rPr>
        <w:t>条款</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1"/>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spacing w:line="440" w:lineRule="exact"/>
        <w:rPr>
          <w:rFonts w:ascii="宋体" w:hAnsi="宋体"/>
          <w:sz w:val="24"/>
        </w:rPr>
      </w:pPr>
    </w:p>
    <w:p>
      <w:pPr>
        <w:ind w:left="0" w:firstLine="3800" w:firstLineChars="950"/>
        <w:jc w:val="both"/>
        <w:rPr>
          <w:rFonts w:hint="eastAsia" w:ascii="创艺简标宋" w:eastAsia="创艺简标宋"/>
          <w:color w:val="auto"/>
          <w:sz w:val="40"/>
          <w:szCs w:val="40"/>
        </w:rPr>
      </w:pPr>
    </w:p>
    <w:p>
      <w:pPr>
        <w:pStyle w:val="2"/>
        <w:rPr>
          <w:rFonts w:hint="eastAsia" w:ascii="创艺简标宋" w:eastAsia="创艺简标宋"/>
          <w:color w:val="auto"/>
          <w:sz w:val="40"/>
          <w:szCs w:val="40"/>
        </w:rPr>
      </w:pPr>
    </w:p>
    <w:p>
      <w:pPr>
        <w:pStyle w:val="2"/>
        <w:rPr>
          <w:rFonts w:hint="eastAsia" w:ascii="创艺简标宋" w:eastAsia="创艺简标宋"/>
          <w:color w:val="auto"/>
          <w:sz w:val="40"/>
          <w:szCs w:val="40"/>
        </w:rPr>
      </w:pPr>
    </w:p>
    <w:p>
      <w:pPr>
        <w:pStyle w:val="2"/>
        <w:rPr>
          <w:rFonts w:hint="eastAsia" w:ascii="创艺简标宋" w:eastAsia="创艺简标宋"/>
          <w:color w:val="auto"/>
          <w:sz w:val="40"/>
          <w:szCs w:val="40"/>
        </w:rPr>
      </w:pPr>
    </w:p>
    <w:p>
      <w:pPr>
        <w:jc w:val="center"/>
        <w:rPr>
          <w:rFonts w:ascii="黑体" w:hAnsi="黑体" w:eastAsia="黑体"/>
          <w:b/>
          <w:color w:val="000000" w:themeColor="text1"/>
          <w:kern w:val="28"/>
          <w:sz w:val="44"/>
          <w:szCs w:val="44"/>
          <w14:textFill>
            <w14:solidFill>
              <w14:schemeClr w14:val="tx1"/>
            </w14:solidFill>
          </w14:textFill>
        </w:rPr>
      </w:pPr>
      <w:r>
        <w:rPr>
          <w:rFonts w:hint="eastAsia" w:ascii="黑体" w:hAnsi="黑体" w:eastAsia="黑体"/>
          <w:sz w:val="44"/>
          <w:szCs w:val="44"/>
        </w:rPr>
        <w:t>采购需求书</w:t>
      </w:r>
    </w:p>
    <w:p>
      <w:pPr>
        <w:jc w:val="center"/>
        <w:rPr>
          <w:rFonts w:ascii="宋体" w:hAnsi="宋体"/>
          <w:color w:val="000000" w:themeColor="text1"/>
          <w:szCs w:val="21"/>
          <w14:textFill>
            <w14:solidFill>
              <w14:schemeClr w14:val="tx1"/>
            </w14:solidFill>
          </w14:textFill>
        </w:rPr>
      </w:pPr>
    </w:p>
    <w:p>
      <w:pPr>
        <w:numPr>
          <w:ilvl w:val="0"/>
          <w:numId w:val="2"/>
        </w:num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项目概况：</w:t>
      </w:r>
      <w:r>
        <w:rPr>
          <w:rFonts w:ascii="宋体" w:hAnsi="宋体"/>
          <w:b/>
          <w:color w:val="000000" w:themeColor="text1"/>
          <w:sz w:val="28"/>
          <w:szCs w:val="28"/>
          <w14:textFill>
            <w14:solidFill>
              <w14:schemeClr w14:val="tx1"/>
            </w14:solidFill>
          </w14:textFill>
        </w:rPr>
        <w:t xml:space="preserve"> </w:t>
      </w:r>
    </w:p>
    <w:tbl>
      <w:tblPr>
        <w:tblStyle w:val="11"/>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5"/>
        <w:gridCol w:w="2413"/>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445"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241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需求科室/部门</w:t>
            </w:r>
          </w:p>
        </w:tc>
        <w:tc>
          <w:tcPr>
            <w:tcW w:w="2520"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szCs w:val="21"/>
              </w:rPr>
              <w:t>维保期限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445" w:type="dxa"/>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飞利浦</w:t>
            </w:r>
            <w:r>
              <w:rPr>
                <w:rFonts w:ascii="宋体" w:hAnsi="宋体"/>
                <w:color w:val="000000" w:themeColor="text1"/>
                <w:szCs w:val="21"/>
                <w14:textFill>
                  <w14:solidFill>
                    <w14:schemeClr w14:val="tx1"/>
                  </w14:solidFill>
                </w14:textFill>
              </w:rPr>
              <w:t>Brilliance iCT</w:t>
            </w:r>
            <w:r>
              <w:rPr>
                <w:rFonts w:hint="eastAsia" w:ascii="宋体" w:hAnsi="宋体"/>
                <w:color w:val="000000" w:themeColor="text1"/>
                <w:szCs w:val="21"/>
                <w14:textFill>
                  <w14:solidFill>
                    <w14:schemeClr w14:val="tx1"/>
                  </w14:solidFill>
                </w14:textFill>
              </w:rPr>
              <w:t>保修服务</w:t>
            </w:r>
          </w:p>
        </w:tc>
        <w:tc>
          <w:tcPr>
            <w:tcW w:w="241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放射科</w:t>
            </w:r>
          </w:p>
        </w:tc>
        <w:tc>
          <w:tcPr>
            <w:tcW w:w="2520"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自合同签订之日起</w:t>
            </w:r>
            <w:r>
              <w:rPr>
                <w:rFonts w:hint="eastAsia" w:ascii="宋体" w:hAnsi="宋体"/>
                <w:color w:val="000000" w:themeColor="text1"/>
                <w:szCs w:val="21"/>
                <w14:textFill>
                  <w14:solidFill>
                    <w14:schemeClr w14:val="tx1"/>
                  </w14:solidFill>
                </w14:textFill>
              </w:rPr>
              <w:t>三年</w:t>
            </w:r>
          </w:p>
        </w:tc>
      </w:tr>
    </w:tbl>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途：对设备进行日常的维护和保养，配合保养计划，针对产品的外部环境、主要参数与性能做质量评估，为机器潜在的问题预测提示，以减少机器非正常停机的风险，提高医疗设备的正常使用率，帮助医院实现高质量、低风险的医疗服务，确保最佳投资的回报率。</w:t>
      </w:r>
    </w:p>
    <w:p>
      <w:pPr>
        <w:numPr>
          <w:ilvl w:val="0"/>
          <w:numId w:val="2"/>
        </w:num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技术要求：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759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599" w:type="dxa"/>
            <w:vAlign w:val="center"/>
          </w:tcPr>
          <w:p>
            <w:pPr>
              <w:spacing w:line="440" w:lineRule="exact"/>
              <w:rPr>
                <w:rFonts w:ascii="宋体" w:hAnsi="宋体"/>
                <w:b/>
                <w:color w:val="000000" w:themeColor="text1"/>
                <w:szCs w:val="21"/>
                <w14:textFill>
                  <w14:solidFill>
                    <w14:schemeClr w14:val="tx1"/>
                  </w14:solidFill>
                </w14:textFill>
              </w:rPr>
            </w:pPr>
            <w:r>
              <w:rPr>
                <w:rFonts w:hint="eastAsia" w:ascii="宋体" w:hAnsi="宋体"/>
                <w:color w:val="000000"/>
                <w:szCs w:val="21"/>
              </w:rPr>
              <w:t>设备型号：</w:t>
            </w:r>
            <w:r>
              <w:rPr>
                <w:rFonts w:ascii="宋体" w:hAnsi="宋体"/>
                <w:color w:val="000000"/>
                <w:szCs w:val="21"/>
              </w:rPr>
              <w:t>Brilliance 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599" w:type="dxa"/>
          </w:tcPr>
          <w:p>
            <w:pPr>
              <w:spacing w:line="440" w:lineRule="exact"/>
              <w:rPr>
                <w:rFonts w:ascii="宋体" w:hAnsi="宋体"/>
                <w:color w:val="000000"/>
                <w:szCs w:val="21"/>
              </w:rPr>
            </w:pPr>
            <w:r>
              <w:rPr>
                <w:rFonts w:hint="eastAsia" w:ascii="宋体" w:hAnsi="宋体"/>
                <w:color w:val="000000"/>
                <w:szCs w:val="21"/>
              </w:rPr>
              <w:t>维保内容：包括</w:t>
            </w:r>
            <w:r>
              <w:rPr>
                <w:rFonts w:ascii="宋体" w:hAnsi="宋体"/>
                <w:color w:val="000000"/>
                <w:szCs w:val="21"/>
              </w:rPr>
              <w:t>Brilliance iCT</w:t>
            </w:r>
            <w:r>
              <w:rPr>
                <w:rFonts w:hint="eastAsia" w:ascii="宋体" w:hAnsi="宋体"/>
                <w:color w:val="000000"/>
                <w:szCs w:val="21"/>
              </w:rPr>
              <w:t>的维修及保养所需的备件及费用。包含每年4次整机保养，无限次数维修。</w:t>
            </w:r>
          </w:p>
          <w:p>
            <w:pPr>
              <w:spacing w:line="440" w:lineRule="exact"/>
              <w:rPr>
                <w:rFonts w:ascii="宋体" w:hAnsi="宋体"/>
                <w:color w:val="000000"/>
                <w:szCs w:val="21"/>
              </w:rPr>
            </w:pPr>
            <w:r>
              <w:rPr>
                <w:rFonts w:hint="eastAsia" w:ascii="宋体" w:hAnsi="宋体"/>
                <w:color w:val="000000"/>
                <w:szCs w:val="21"/>
              </w:rPr>
              <w:t>服务范围包括：球管、整机主机、探测器、工作站、高压注射器；维修和备件范围不包含其他除高压注射器外的所有第三方生产或拥有的设备和软件，如稳压电源，UPS，激光相机，外配打印机，录像机，视频外设，操作系统升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599" w:type="dxa"/>
          </w:tcPr>
          <w:p>
            <w:pPr>
              <w:spacing w:line="440" w:lineRule="exact"/>
              <w:rPr>
                <w:rFonts w:ascii="宋体" w:hAnsi="宋体"/>
                <w:color w:val="000000"/>
                <w:szCs w:val="21"/>
              </w:rPr>
            </w:pPr>
            <w:r>
              <w:rPr>
                <w:rFonts w:hint="eastAsia" w:ascii="宋体" w:hAnsi="宋体"/>
                <w:color w:val="000000"/>
                <w:szCs w:val="21"/>
              </w:rPr>
              <w:t>安全检查：按照厂家设备本身标准及当地规定执行。</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制定检查计划</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机械安全检查</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电气安全检查</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599" w:type="dxa"/>
          </w:tcPr>
          <w:p>
            <w:pPr>
              <w:spacing w:line="440" w:lineRule="exact"/>
              <w:rPr>
                <w:rFonts w:ascii="宋体" w:hAnsi="宋体"/>
                <w:color w:val="000000"/>
                <w:szCs w:val="21"/>
              </w:rPr>
            </w:pPr>
            <w:r>
              <w:rPr>
                <w:rFonts w:hint="eastAsia" w:ascii="宋体" w:hAnsi="宋体"/>
                <w:color w:val="000000"/>
                <w:szCs w:val="21"/>
              </w:rPr>
              <w:t>预防性保养：按照保养计划提供，每年提供四次专业保养，以保证设备处于最佳运行状态。</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记录并安排保养时间</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按照厂家标准进行调校</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确认各项技术指标及性能</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年检时，中标人负责配合医院按照相关部门流程进行检测，以保障取得合格证。</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记录设备状况</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提供每次保养后由设备本身导出的保养报告</w:t>
            </w:r>
          </w:p>
          <w:p>
            <w:pPr>
              <w:spacing w:line="4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预防性保养损耗品：预防性保养中需要更换的损耗品由中标人提供，以上费用已包含在投标报价中。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599" w:type="dxa"/>
          </w:tcPr>
          <w:p>
            <w:pPr>
              <w:spacing w:line="440" w:lineRule="exact"/>
              <w:rPr>
                <w:rFonts w:ascii="宋体" w:hAnsi="宋体"/>
                <w:color w:val="000000"/>
                <w:szCs w:val="21"/>
              </w:rPr>
            </w:pPr>
            <w:r>
              <w:rPr>
                <w:rFonts w:hint="eastAsia" w:ascii="宋体" w:hAnsi="宋体"/>
                <w:bCs/>
                <w:color w:val="000000" w:themeColor="text1"/>
                <w:szCs w:val="21"/>
                <w14:textFill>
                  <w14:solidFill>
                    <w14:schemeClr w14:val="tx1"/>
                  </w14:solidFill>
                </w14:textFill>
              </w:rPr>
              <w:t>安全升级：投标人或其维修服务商必须在原厂规定的升级文件规定时间内完成，并在升级完成后提供原厂升级文件及工作记录。针对设备原厂官网发布的FCO，必须在有效期内执行；投标人须提供相关证明文件。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auto"/>
                <w:szCs w:val="21"/>
              </w:rPr>
            </w:pPr>
            <w:r>
              <w:rPr>
                <w:rFonts w:hint="eastAsia" w:ascii="宋体" w:hAnsi="宋体"/>
                <w:color w:val="auto"/>
                <w:szCs w:val="21"/>
              </w:rPr>
              <w:t>6</w:t>
            </w:r>
          </w:p>
        </w:tc>
        <w:tc>
          <w:tcPr>
            <w:tcW w:w="7599" w:type="dxa"/>
          </w:tcPr>
          <w:p>
            <w:pPr>
              <w:spacing w:line="440" w:lineRule="exact"/>
              <w:rPr>
                <w:rFonts w:ascii="宋体" w:hAnsi="宋体"/>
                <w:bCs/>
                <w:color w:val="auto"/>
                <w:szCs w:val="21"/>
              </w:rPr>
            </w:pPr>
            <w:r>
              <w:rPr>
                <w:rFonts w:hint="eastAsia" w:ascii="宋体" w:hAnsi="宋体"/>
                <w:bCs/>
                <w:color w:val="auto"/>
                <w:szCs w:val="21"/>
              </w:rPr>
              <w:t>开机率：在合同期内保证 95%的开机率（按一年365个日历日计算）。由于中标人的原因导致未能达到此开机率，则按1：</w:t>
            </w:r>
            <w:r>
              <w:rPr>
                <w:rFonts w:ascii="宋体" w:hAnsi="宋体"/>
                <w:bCs/>
                <w:color w:val="auto"/>
                <w:szCs w:val="21"/>
              </w:rPr>
              <w:t>2</w:t>
            </w:r>
            <w:r>
              <w:rPr>
                <w:rFonts w:hint="eastAsia" w:ascii="宋体" w:hAnsi="宋体"/>
                <w:bCs/>
                <w:color w:val="auto"/>
                <w:szCs w:val="21"/>
              </w:rPr>
              <w:t>的比例顺延维保期时间（即按天算，开机日每降低1个日历日，维保期顺延</w:t>
            </w:r>
            <w:r>
              <w:rPr>
                <w:rFonts w:ascii="宋体" w:hAnsi="宋体"/>
                <w:bCs/>
                <w:color w:val="auto"/>
                <w:szCs w:val="21"/>
              </w:rPr>
              <w:t>2</w:t>
            </w:r>
            <w:r>
              <w:rPr>
                <w:rFonts w:hint="eastAsia" w:ascii="宋体" w:hAnsi="宋体"/>
                <w:bCs/>
                <w:color w:val="auto"/>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auto"/>
                <w:szCs w:val="21"/>
              </w:rPr>
            </w:pPr>
            <w:r>
              <w:rPr>
                <w:rFonts w:hint="eastAsia" w:ascii="宋体" w:hAnsi="宋体"/>
                <w:color w:val="auto"/>
                <w:szCs w:val="21"/>
              </w:rPr>
              <w:t>7</w:t>
            </w:r>
          </w:p>
        </w:tc>
        <w:tc>
          <w:tcPr>
            <w:tcW w:w="7599" w:type="dxa"/>
          </w:tcPr>
          <w:p>
            <w:pPr>
              <w:widowControl/>
              <w:jc w:val="left"/>
              <w:rPr>
                <w:rFonts w:ascii="宋体" w:hAnsi="宋体"/>
                <w:bCs/>
                <w:color w:val="auto"/>
                <w:szCs w:val="21"/>
              </w:rPr>
            </w:pPr>
            <w:r>
              <w:rPr>
                <w:rFonts w:hint="eastAsia" w:ascii="宋体" w:hAnsi="宋体"/>
                <w:bCs/>
                <w:color w:val="auto"/>
                <w:szCs w:val="21"/>
              </w:rPr>
              <w:t>工时：投标报价包含维保期内所需的人工费用及节假日的加班费用，同时采购人享有优先派工权，中标后采购人不再另行支付费用。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auto"/>
                <w:szCs w:val="21"/>
              </w:rPr>
            </w:pPr>
            <w:r>
              <w:rPr>
                <w:rFonts w:hint="eastAsia" w:ascii="宋体" w:hAnsi="宋体"/>
                <w:color w:val="auto"/>
                <w:szCs w:val="21"/>
              </w:rPr>
              <w:t>8</w:t>
            </w:r>
          </w:p>
        </w:tc>
        <w:tc>
          <w:tcPr>
            <w:tcW w:w="7599" w:type="dxa"/>
          </w:tcPr>
          <w:p>
            <w:pPr>
              <w:spacing w:line="440" w:lineRule="exact"/>
              <w:rPr>
                <w:rFonts w:ascii="宋体" w:hAnsi="宋体"/>
                <w:bCs/>
                <w:color w:val="auto"/>
                <w:szCs w:val="21"/>
              </w:rPr>
            </w:pPr>
            <w:bookmarkStart w:id="0" w:name="OLE_LINK3"/>
            <w:bookmarkStart w:id="1" w:name="OLE_LINK4"/>
            <w:r>
              <w:rPr>
                <w:rFonts w:hint="eastAsia" w:ascii="宋体" w:hAnsi="宋体"/>
                <w:bCs/>
                <w:color w:val="auto"/>
                <w:szCs w:val="21"/>
              </w:rPr>
              <w:t>▲</w:t>
            </w:r>
            <w:bookmarkEnd w:id="0"/>
            <w:bookmarkEnd w:id="1"/>
            <w:r>
              <w:rPr>
                <w:rFonts w:hint="eastAsia" w:ascii="宋体" w:hAnsi="宋体"/>
                <w:bCs/>
                <w:color w:val="auto"/>
                <w:szCs w:val="21"/>
              </w:rPr>
              <w:t>备件：备件必须是原厂认证合格的零备件，备件有</w:t>
            </w:r>
            <w:r>
              <w:rPr>
                <w:rFonts w:hint="eastAsia" w:ascii="宋体" w:hAnsi="宋体"/>
                <w:bCs/>
                <w:color w:val="auto"/>
                <w:szCs w:val="21"/>
                <w:highlight w:val="none"/>
              </w:rPr>
              <w:t>追踪号码</w:t>
            </w:r>
            <w:r>
              <w:rPr>
                <w:rFonts w:hint="eastAsia" w:ascii="宋体" w:hAnsi="宋体"/>
                <w:bCs/>
                <w:color w:val="auto"/>
                <w:szCs w:val="21"/>
              </w:rPr>
              <w:t>，保障不会对设备质量或图像产生不良影响。提供保修所需的备件，备件</w:t>
            </w:r>
            <w:r>
              <w:rPr>
                <w:rFonts w:hint="eastAsia"/>
                <w:color w:val="auto"/>
              </w:rPr>
              <w:t>48小时内必须到达现场</w:t>
            </w:r>
            <w:r>
              <w:rPr>
                <w:rFonts w:hint="eastAsia" w:ascii="宋体" w:hAnsi="宋体"/>
                <w:bCs/>
                <w:color w:val="auto"/>
                <w:szCs w:val="21"/>
              </w:rPr>
              <w:t>。如因提供不合法不合规或来路不明的备件而引起的相关损失及法律责任由中标人自行承担</w:t>
            </w:r>
            <w:r>
              <w:rPr>
                <w:rFonts w:hint="eastAsia" w:ascii="宋体" w:hAnsi="宋体"/>
                <w:b/>
                <w:color w:val="auto"/>
                <w:szCs w:val="21"/>
              </w:rPr>
              <w:t>(投标文件中提供承诺函并加盖投标人公章)</w:t>
            </w:r>
            <w:r>
              <w:rPr>
                <w:rFonts w:hint="eastAsia" w:ascii="宋体" w:hAnsi="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auto"/>
                <w:szCs w:val="21"/>
              </w:rPr>
            </w:pPr>
            <w:r>
              <w:rPr>
                <w:rFonts w:hint="eastAsia" w:ascii="宋体" w:hAnsi="宋体"/>
                <w:color w:val="auto"/>
                <w:szCs w:val="21"/>
              </w:rPr>
              <w:t>9</w:t>
            </w:r>
          </w:p>
        </w:tc>
        <w:tc>
          <w:tcPr>
            <w:tcW w:w="7599" w:type="dxa"/>
          </w:tcPr>
          <w:p>
            <w:pPr>
              <w:spacing w:line="440" w:lineRule="exact"/>
              <w:rPr>
                <w:rFonts w:ascii="宋体" w:hAnsi="宋体"/>
                <w:bCs/>
                <w:color w:val="auto"/>
                <w:szCs w:val="21"/>
              </w:rPr>
            </w:pPr>
            <w:r>
              <w:rPr>
                <w:rFonts w:hint="eastAsia" w:ascii="宋体" w:hAnsi="宋体"/>
                <w:bCs/>
                <w:color w:val="auto"/>
                <w:szCs w:val="21"/>
              </w:rPr>
              <w:t>▲为保障备件的快速且安全的供应，投标人或其维修服务商需在国内设有零备件保税仓库</w:t>
            </w:r>
            <w:r>
              <w:rPr>
                <w:rFonts w:hint="eastAsia" w:ascii="宋体" w:hAnsi="宋体"/>
                <w:b/>
                <w:color w:val="auto"/>
                <w:szCs w:val="21"/>
              </w:rPr>
              <w:t>（投标文件中提供</w:t>
            </w:r>
            <w:r>
              <w:rPr>
                <w:rFonts w:ascii="宋体" w:hAnsi="宋体"/>
                <w:b/>
                <w:color w:val="auto"/>
                <w:szCs w:val="21"/>
              </w:rPr>
              <w:t>相应</w:t>
            </w:r>
            <w:r>
              <w:rPr>
                <w:rFonts w:hint="eastAsia" w:ascii="宋体" w:hAnsi="宋体"/>
                <w:b/>
                <w:color w:val="auto"/>
                <w:szCs w:val="21"/>
              </w:rPr>
              <w:t>的产权证明文件（或租赁合同）复印件以及保税仓库注册登记证书复印件并加盖投标人公章）</w:t>
            </w:r>
            <w:r>
              <w:rPr>
                <w:rFonts w:hint="eastAsia" w:ascii="宋体" w:hAnsi="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0</w:t>
            </w:r>
          </w:p>
        </w:tc>
        <w:tc>
          <w:tcPr>
            <w:tcW w:w="7599" w:type="dxa"/>
          </w:tcPr>
          <w:p>
            <w:pPr>
              <w:spacing w:line="440" w:lineRule="exact"/>
              <w:rPr>
                <w:rFonts w:ascii="宋体" w:hAnsi="宋体"/>
                <w:bCs/>
                <w:color w:val="auto"/>
                <w:szCs w:val="21"/>
              </w:rPr>
            </w:pPr>
            <w:r>
              <w:rPr>
                <w:rFonts w:hint="eastAsia" w:ascii="宋体" w:hAnsi="宋体"/>
                <w:bCs/>
                <w:color w:val="auto"/>
                <w:szCs w:val="21"/>
              </w:rPr>
              <w:t>▲包含</w:t>
            </w:r>
            <w:r>
              <w:rPr>
                <w:rFonts w:ascii="宋体" w:hAnsi="宋体"/>
                <w:bCs/>
                <w:color w:val="auto"/>
                <w:szCs w:val="21"/>
              </w:rPr>
              <w:t>Brilliance iCT</w:t>
            </w:r>
            <w:r>
              <w:rPr>
                <w:rFonts w:hint="eastAsia" w:ascii="宋体" w:hAnsi="宋体"/>
                <w:bCs/>
                <w:color w:val="auto"/>
                <w:szCs w:val="21"/>
              </w:rPr>
              <w:t>设备</w:t>
            </w:r>
            <w:r>
              <w:rPr>
                <w:rFonts w:hint="eastAsia"/>
                <w:color w:val="auto"/>
              </w:rPr>
              <w:t xml:space="preserve"> </w:t>
            </w:r>
            <w:r>
              <w:rPr>
                <w:rFonts w:hint="eastAsia" w:ascii="宋体" w:hAnsi="宋体"/>
                <w:bCs/>
                <w:color w:val="auto"/>
                <w:szCs w:val="21"/>
              </w:rPr>
              <w:t>Jog Scan 动态扫描功能升级，需符合如下技术要求：</w:t>
            </w:r>
          </w:p>
          <w:p>
            <w:pPr>
              <w:spacing w:line="440" w:lineRule="exact"/>
              <w:rPr>
                <w:rFonts w:ascii="宋体" w:hAnsi="宋体"/>
                <w:bCs/>
                <w:color w:val="auto"/>
                <w:szCs w:val="21"/>
              </w:rPr>
            </w:pPr>
            <w:r>
              <w:rPr>
                <w:rFonts w:hint="eastAsia" w:ascii="宋体" w:hAnsi="宋体"/>
                <w:bCs/>
                <w:color w:val="auto"/>
                <w:szCs w:val="21"/>
              </w:rPr>
              <w:t>（1）提供一种全新的往返摇篮床扫描模式，它通过安全平稳的让病人进出机架，突破探测器局限的大范围动态成像，动态扫描功能可为CT灌注实现两倍探测器宽度的器官覆盖，即16cm器官覆盖。可以让医生观察到全脑组织不同时相的血流情况， 并可同时完成后处理或者血管评估。</w:t>
            </w:r>
          </w:p>
          <w:p>
            <w:pPr>
              <w:spacing w:line="440" w:lineRule="exact"/>
              <w:rPr>
                <w:rFonts w:ascii="宋体" w:hAnsi="宋体"/>
                <w:bCs/>
                <w:color w:val="auto"/>
                <w:szCs w:val="21"/>
              </w:rPr>
            </w:pPr>
            <w:r>
              <w:rPr>
                <w:rFonts w:hint="eastAsia" w:ascii="宋体" w:hAnsi="宋体"/>
                <w:bCs/>
                <w:color w:val="auto"/>
                <w:szCs w:val="21"/>
              </w:rPr>
              <w:t>（2）在静脉团注对比剂后对选定层面行同层动态扫描，以获得该层面内每一</w:t>
            </w:r>
          </w:p>
          <w:p>
            <w:pPr>
              <w:spacing w:line="440" w:lineRule="exact"/>
              <w:rPr>
                <w:rFonts w:ascii="宋体" w:hAnsi="宋体"/>
                <w:bCs/>
                <w:color w:val="auto"/>
                <w:szCs w:val="21"/>
              </w:rPr>
            </w:pPr>
            <w:r>
              <w:rPr>
                <w:rFonts w:hint="eastAsia" w:ascii="宋体" w:hAnsi="宋体"/>
                <w:bCs/>
                <w:color w:val="auto"/>
                <w:szCs w:val="21"/>
              </w:rPr>
              <w:t>像素的时间-密度曲线，根据该曲线利用不同的数学模型计算出血流量、血容量、对比剂平均通过时间、对比剂峰值等参数，并获得相应的功能图以此来评价组织器官的灌注状态。</w:t>
            </w:r>
          </w:p>
          <w:p>
            <w:pPr>
              <w:spacing w:line="440" w:lineRule="exact"/>
              <w:rPr>
                <w:rFonts w:ascii="宋体" w:hAnsi="宋体"/>
                <w:bCs/>
                <w:color w:val="auto"/>
                <w:szCs w:val="21"/>
              </w:rPr>
            </w:pPr>
            <w:r>
              <w:rPr>
                <w:rFonts w:hint="eastAsia" w:ascii="宋体" w:hAnsi="宋体"/>
                <w:bCs/>
                <w:color w:val="auto"/>
                <w:szCs w:val="21"/>
              </w:rPr>
              <w:t>（3）全脑覆盖：提供更完整的血液动力学信息。</w:t>
            </w:r>
          </w:p>
          <w:p>
            <w:pPr>
              <w:spacing w:line="440" w:lineRule="exact"/>
              <w:rPr>
                <w:rFonts w:ascii="宋体" w:hAnsi="宋体"/>
                <w:bCs/>
                <w:color w:val="auto"/>
                <w:szCs w:val="21"/>
              </w:rPr>
            </w:pPr>
            <w:r>
              <w:rPr>
                <w:rFonts w:hint="eastAsia" w:ascii="宋体" w:hAnsi="宋体"/>
                <w:bCs/>
                <w:color w:val="auto"/>
                <w:szCs w:val="21"/>
              </w:rPr>
              <w:t>（4）一站式扫描：扫描快速（60s），减少辐射剂量及对比剂用量，CTA找到“责任血管”。</w:t>
            </w:r>
          </w:p>
          <w:p>
            <w:pPr>
              <w:spacing w:line="440" w:lineRule="exact"/>
              <w:rPr>
                <w:rFonts w:ascii="宋体" w:hAnsi="宋体"/>
                <w:bCs/>
                <w:color w:val="auto"/>
                <w:szCs w:val="21"/>
              </w:rPr>
            </w:pPr>
            <w:r>
              <w:rPr>
                <w:rFonts w:hint="eastAsia" w:ascii="宋体" w:hAnsi="宋体"/>
                <w:bCs/>
                <w:color w:val="auto"/>
                <w:szCs w:val="21"/>
              </w:rPr>
              <w:t>（5）头颈联合扫描：准确安全地提供一步到位的影像学信息。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1</w:t>
            </w:r>
          </w:p>
        </w:tc>
        <w:tc>
          <w:tcPr>
            <w:tcW w:w="7599" w:type="dxa"/>
          </w:tcPr>
          <w:p>
            <w:pPr>
              <w:spacing w:line="440" w:lineRule="exact"/>
              <w:rPr>
                <w:rFonts w:ascii="宋体" w:hAnsi="宋体"/>
                <w:bCs/>
                <w:color w:val="auto"/>
                <w:szCs w:val="21"/>
              </w:rPr>
            </w:pPr>
            <w:r>
              <w:rPr>
                <w:rFonts w:hint="eastAsia" w:ascii="宋体" w:hAnsi="宋体"/>
                <w:bCs/>
                <w:color w:val="auto"/>
                <w:szCs w:val="21"/>
              </w:rPr>
              <w:t>▲包含</w:t>
            </w:r>
            <w:r>
              <w:rPr>
                <w:rFonts w:ascii="宋体" w:hAnsi="宋体"/>
                <w:bCs/>
                <w:color w:val="auto"/>
                <w:szCs w:val="21"/>
              </w:rPr>
              <w:t>Brilliance iCT</w:t>
            </w:r>
            <w:r>
              <w:rPr>
                <w:rFonts w:hint="eastAsia" w:ascii="宋体" w:hAnsi="宋体"/>
                <w:bCs/>
                <w:color w:val="auto"/>
                <w:szCs w:val="21"/>
              </w:rPr>
              <w:t>设备</w:t>
            </w:r>
            <w:r>
              <w:rPr>
                <w:rFonts w:hint="eastAsia"/>
                <w:color w:val="auto"/>
              </w:rPr>
              <w:t xml:space="preserve"> </w:t>
            </w:r>
            <w:r>
              <w:rPr>
                <w:rFonts w:hint="eastAsia" w:ascii="宋体" w:hAnsi="宋体"/>
                <w:bCs/>
                <w:color w:val="auto"/>
                <w:szCs w:val="21"/>
              </w:rPr>
              <w:t>Advanced Brain Perfusion 高级CT脑灌注分析软件升级，需符合如下技术要求：</w:t>
            </w:r>
          </w:p>
          <w:p>
            <w:pPr>
              <w:spacing w:line="440" w:lineRule="exact"/>
              <w:rPr>
                <w:rFonts w:ascii="宋体" w:hAnsi="宋体"/>
                <w:bCs/>
                <w:color w:val="auto"/>
                <w:szCs w:val="21"/>
              </w:rPr>
            </w:pPr>
            <w:r>
              <w:rPr>
                <w:rFonts w:hint="eastAsia" w:ascii="宋体" w:hAnsi="宋体"/>
                <w:bCs/>
                <w:color w:val="auto"/>
                <w:szCs w:val="21"/>
              </w:rPr>
              <w:t>（1）区分血容量增加和血流量减少的区域，并在摘要地图中显示这些信息。</w:t>
            </w:r>
          </w:p>
          <w:p>
            <w:pPr>
              <w:spacing w:line="440" w:lineRule="exact"/>
              <w:rPr>
                <w:rFonts w:ascii="宋体" w:hAnsi="宋体"/>
                <w:bCs/>
                <w:color w:val="auto"/>
                <w:szCs w:val="21"/>
              </w:rPr>
            </w:pPr>
            <w:r>
              <w:rPr>
                <w:rFonts w:hint="eastAsia" w:ascii="宋体" w:hAnsi="宋体"/>
                <w:bCs/>
                <w:color w:val="auto"/>
                <w:szCs w:val="21"/>
              </w:rPr>
              <w:t>（2）总结图有助于临床医生区分仍然存活和不存活的梗死组织。</w:t>
            </w:r>
          </w:p>
          <w:p>
            <w:pPr>
              <w:spacing w:line="440" w:lineRule="exact"/>
              <w:rPr>
                <w:rFonts w:ascii="宋体" w:hAnsi="宋体"/>
                <w:bCs/>
                <w:color w:val="auto"/>
                <w:szCs w:val="21"/>
              </w:rPr>
            </w:pPr>
            <w:r>
              <w:rPr>
                <w:rFonts w:hint="eastAsia" w:ascii="宋体" w:hAnsi="宋体"/>
                <w:bCs/>
                <w:color w:val="auto"/>
                <w:szCs w:val="21"/>
              </w:rPr>
              <w:t>（3）使用静脉注射对比剂获得的连续 CT 扫描，脑灌注包根据注射对比剂的摄取和随后的组织增强（或缺乏）从时间密度曲线中获得灌注信息。</w:t>
            </w:r>
          </w:p>
          <w:p>
            <w:pPr>
              <w:spacing w:line="440" w:lineRule="exact"/>
              <w:rPr>
                <w:rFonts w:ascii="宋体" w:hAnsi="宋体"/>
                <w:bCs/>
                <w:color w:val="auto"/>
                <w:szCs w:val="21"/>
              </w:rPr>
            </w:pPr>
            <w:r>
              <w:rPr>
                <w:rFonts w:hint="eastAsia" w:ascii="宋体" w:hAnsi="宋体"/>
                <w:bCs/>
                <w:color w:val="auto"/>
                <w:szCs w:val="21"/>
              </w:rPr>
              <w:t>（4）除了汇总图外，该软件包还生成脑血流（CBF）、脑血容量（CBV）、上升时间（RT）和峰值时间（TTP）的定量彩色图。</w:t>
            </w:r>
          </w:p>
          <w:p>
            <w:pPr>
              <w:spacing w:line="440" w:lineRule="exact"/>
              <w:rPr>
                <w:rFonts w:ascii="宋体" w:hAnsi="宋体"/>
                <w:bCs/>
                <w:color w:val="auto"/>
                <w:szCs w:val="21"/>
              </w:rPr>
            </w:pPr>
            <w:r>
              <w:rPr>
                <w:rFonts w:hint="eastAsia" w:ascii="宋体" w:hAnsi="宋体"/>
                <w:bCs/>
                <w:color w:val="auto"/>
                <w:szCs w:val="21"/>
              </w:rPr>
              <w:t>（5）提供完整的血液动力学信息。</w:t>
            </w:r>
          </w:p>
          <w:p>
            <w:pPr>
              <w:spacing w:line="440" w:lineRule="exact"/>
              <w:rPr>
                <w:rFonts w:ascii="宋体" w:hAnsi="宋体"/>
                <w:bCs/>
                <w:color w:val="auto"/>
                <w:szCs w:val="21"/>
              </w:rPr>
            </w:pPr>
            <w:r>
              <w:rPr>
                <w:rFonts w:hint="eastAsia" w:ascii="宋体" w:hAnsi="宋体"/>
                <w:bCs/>
                <w:color w:val="auto"/>
                <w:szCs w:val="21"/>
              </w:rPr>
              <w:t>（6）帮助临床医生区分存活和完全梗死的脑组织，增强救治效率和信心。</w:t>
            </w:r>
          </w:p>
          <w:p>
            <w:pPr>
              <w:spacing w:line="440" w:lineRule="exact"/>
              <w:rPr>
                <w:rFonts w:ascii="宋体" w:hAnsi="宋体"/>
                <w:bCs/>
                <w:color w:val="auto"/>
                <w:szCs w:val="21"/>
              </w:rPr>
            </w:pPr>
            <w:r>
              <w:rPr>
                <w:rFonts w:hint="eastAsia" w:ascii="宋体" w:hAnsi="宋体"/>
                <w:bCs/>
                <w:color w:val="auto"/>
                <w:szCs w:val="21"/>
              </w:rPr>
              <w:t>（7）提供运动校正、降噪和改进的易用性，以最大限度地提高效率。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7599" w:type="dxa"/>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▲远程连接：投标人或其维修服务商需提供基于设备嵌入式远程连接方案的实时远程服务，在用户允许的情况下可以接入设备，以保证维修的及时性，且远程服务应满足以下需求：</w:t>
            </w:r>
          </w:p>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1、该远程服务可以实现远程不断监控和保护医疗设备，及时发出预警，在出现故障之前，就可对其进行远程维护和处理，以减少设备停机时间，提高设备使用率。</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、基于设备嵌入式远程连接方案，投标服务商需符合HIPAA和NEMA安全要求，并且通过ISO27001国际信息安全管理体系。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7599" w:type="dxa"/>
          </w:tcPr>
          <w:p>
            <w:pPr>
              <w:pStyle w:val="4"/>
            </w:pPr>
            <w:r>
              <w:rPr>
                <w:rFonts w:hint="eastAsia" w:ascii="宋体" w:hAnsi="宋体"/>
                <w:bCs/>
                <w:color w:val="000000" w:themeColor="text1"/>
                <w:szCs w:val="21"/>
                <w14:textFill>
                  <w14:solidFill>
                    <w14:schemeClr w14:val="tx1"/>
                  </w14:solidFill>
                </w14:textFill>
              </w:rPr>
              <w:t>提供400免费热线电话，24小时 *365天有工程师接听，为用户快速诊断和提供技术支持服务。接到维修要求后，如是设备停机或是影响设备使用的故障，</w:t>
            </w:r>
            <w:r>
              <w:rPr>
                <w:rFonts w:hint="eastAsia"/>
              </w:rPr>
              <w:t>24小时</w:t>
            </w:r>
            <w:r>
              <w:rPr>
                <w:rFonts w:hint="eastAsia" w:ascii="宋体" w:hAnsi="宋体"/>
                <w:bCs/>
                <w:color w:val="000000" w:themeColor="text1"/>
                <w:szCs w:val="21"/>
                <w14:textFill>
                  <w14:solidFill>
                    <w14:schemeClr w14:val="tx1"/>
                  </w14:solidFill>
                </w14:textFill>
              </w:rPr>
              <w:t>内到达现场；如是间接性故障或不影响设备使用的故障，</w:t>
            </w:r>
            <w:r>
              <w:rPr>
                <w:rFonts w:hint="eastAsia"/>
              </w:rPr>
              <w:t>48小时内到达现场。</w:t>
            </w:r>
            <w:r>
              <w:rPr>
                <w:rFonts w:ascii="宋体" w:hAnsi="宋体"/>
                <w:bCs/>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4</w:t>
            </w:r>
          </w:p>
        </w:tc>
        <w:tc>
          <w:tcPr>
            <w:tcW w:w="7599" w:type="dxa"/>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投标文件中提供维护保养的专业工具的介绍，需图文并茂。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p>
        </w:tc>
        <w:tc>
          <w:tcPr>
            <w:tcW w:w="7599" w:type="dxa"/>
          </w:tcPr>
          <w:p>
            <w:pPr>
              <w:spacing w:line="440" w:lineRule="exact"/>
              <w:rPr>
                <w:rFonts w:ascii="宋体" w:hAnsi="宋体"/>
                <w:bCs/>
                <w:color w:val="000000" w:themeColor="text1"/>
                <w:szCs w:val="21"/>
                <w14:textFill>
                  <w14:solidFill>
                    <w14:schemeClr w14:val="tx1"/>
                  </w14:solidFill>
                </w14:textFill>
              </w:rPr>
            </w:pPr>
            <w:bookmarkStart w:id="2" w:name="OLE_LINK6"/>
            <w:bookmarkStart w:id="3" w:name="OLE_LINK5"/>
            <w:r>
              <w:rPr>
                <w:rFonts w:hint="eastAsia" w:ascii="宋体" w:hAnsi="宋体"/>
                <w:bCs/>
                <w:color w:val="000000" w:themeColor="text1"/>
                <w:szCs w:val="21"/>
                <w14:textFill>
                  <w14:solidFill>
                    <w14:schemeClr w14:val="tx1"/>
                  </w14:solidFill>
                </w14:textFill>
              </w:rPr>
              <w:t>对于该设备包含的iMRC球管，为设备的核心重点备件，投标人或其维修服务商需具备原厂提供的全新合格球管的库存，在投标文件中提供近一年内该库存球管的合法进口证明文件，包含但不限于该球管的进口报关单、清晰体现该球管序列号的运货单以及中国海关要求的医疗器械标签等资料、不低于2条球管信息。</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p>
        </w:tc>
        <w:tc>
          <w:tcPr>
            <w:tcW w:w="7599" w:type="dxa"/>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为保障更快捷更满意的服务，投标人或其维修服务商需在国内设有维修站，满足应急维修要求，并具备至少有6名具备CT设备维修资质的工程师组成的服务团队（需提供有效期内的经设备生产商培训机构针对与本标的同型号设备的培训证书作为工程师培训资质证明，并提供近3个月中任意1月投标人为其缴纳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7</w:t>
            </w:r>
          </w:p>
        </w:tc>
        <w:tc>
          <w:tcPr>
            <w:tcW w:w="7599" w:type="dxa"/>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投标人或其维修服务商承诺在整个合同期内都能合法获得原厂高级故障诊断软件的诊断维修钥匙（service key），并保证不违反国家有关知识产权的法律规定，并能按时提交年度维修报告书</w:t>
            </w:r>
            <w:r>
              <w:rPr>
                <w:rFonts w:hint="eastAsia" w:ascii="宋体" w:hAnsi="宋体"/>
                <w:b/>
                <w:color w:val="000000" w:themeColor="text1"/>
                <w:szCs w:val="21"/>
                <w14:textFill>
                  <w14:solidFill>
                    <w14:schemeClr w14:val="tx1"/>
                  </w14:solidFill>
                </w14:textFill>
              </w:rPr>
              <w:t>（投标文件中提供承诺书或证明材料并加盖投标人公章）</w:t>
            </w:r>
            <w:r>
              <w:rPr>
                <w:rFonts w:hint="eastAsia" w:ascii="宋体" w:hAnsi="宋体"/>
                <w:bCs/>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w:t>
            </w:r>
          </w:p>
        </w:tc>
        <w:tc>
          <w:tcPr>
            <w:tcW w:w="7599" w:type="dxa"/>
          </w:tcPr>
          <w:p>
            <w:pPr>
              <w:spacing w:line="440" w:lineRule="exact"/>
              <w:rPr>
                <w:rFonts w:ascii="宋体" w:hAnsi="宋体" w:eastAsia="宋体" w:cs="Times New Roman"/>
                <w:szCs w:val="21"/>
                <w:lang w:val="zh-CN"/>
              </w:rPr>
            </w:pPr>
            <w:r>
              <w:rPr>
                <w:rFonts w:hint="eastAsia" w:ascii="宋体" w:hAnsi="宋体"/>
                <w:bCs/>
                <w:color w:val="000000" w:themeColor="text1"/>
                <w:szCs w:val="21"/>
                <w14:textFill>
                  <w14:solidFill>
                    <w14:schemeClr w14:val="tx1"/>
                  </w14:solidFill>
                </w14:textFill>
              </w:rPr>
              <w:t>▲</w:t>
            </w:r>
            <w:r>
              <w:rPr>
                <w:rFonts w:hint="eastAsia" w:ascii="宋体" w:hAnsi="宋体" w:eastAsia="宋体" w:cs="Times New Roman"/>
                <w:szCs w:val="21"/>
                <w:lang w:val="zh-CN"/>
              </w:rPr>
              <w:t>投标人或其维修服务商需在国内有专门的培训基地</w:t>
            </w:r>
            <w:r>
              <w:rPr>
                <w:rFonts w:hint="eastAsia" w:ascii="宋体" w:hAnsi="宋体" w:eastAsia="宋体" w:cs="Times New Roman"/>
                <w:b/>
                <w:bCs/>
                <w:szCs w:val="21"/>
                <w:lang w:val="zh-CN"/>
              </w:rPr>
              <w:t>（</w:t>
            </w:r>
            <w:r>
              <w:rPr>
                <w:rFonts w:hint="eastAsia" w:ascii="宋体" w:hAnsi="宋体" w:eastAsia="宋体" w:cs="Times New Roman"/>
                <w:b/>
                <w:bCs/>
                <w:szCs w:val="21"/>
              </w:rPr>
              <w:t>投标文件中</w:t>
            </w:r>
            <w:r>
              <w:rPr>
                <w:rFonts w:hint="eastAsia" w:ascii="宋体" w:hAnsi="宋体" w:eastAsia="宋体" w:cs="Times New Roman"/>
                <w:b/>
                <w:bCs/>
                <w:szCs w:val="21"/>
                <w:lang w:val="zh-CN"/>
              </w:rPr>
              <w:t>提供该培训基地的场地信息</w:t>
            </w:r>
            <w:r>
              <w:rPr>
                <w:rFonts w:hint="eastAsia" w:ascii="宋体" w:hAnsi="宋体" w:eastAsia="宋体" w:cs="Times New Roman"/>
                <w:b/>
                <w:bCs/>
                <w:szCs w:val="21"/>
              </w:rPr>
              <w:t>以及产权证明（或</w:t>
            </w:r>
            <w:r>
              <w:rPr>
                <w:rFonts w:hint="eastAsia" w:ascii="宋体" w:hAnsi="宋体" w:eastAsia="宋体" w:cs="Times New Roman"/>
                <w:b/>
                <w:bCs/>
                <w:szCs w:val="21"/>
                <w:lang w:val="zh-CN"/>
              </w:rPr>
              <w:t>租赁合同</w:t>
            </w:r>
            <w:r>
              <w:rPr>
                <w:rFonts w:hint="eastAsia" w:ascii="宋体" w:hAnsi="宋体" w:eastAsia="宋体" w:cs="Times New Roman"/>
                <w:b/>
                <w:bCs/>
                <w:szCs w:val="21"/>
              </w:rPr>
              <w:t>）</w:t>
            </w:r>
            <w:r>
              <w:rPr>
                <w:rFonts w:hint="eastAsia" w:ascii="宋体" w:hAnsi="宋体" w:eastAsia="宋体" w:cs="Times New Roman"/>
                <w:b/>
                <w:bCs/>
                <w:szCs w:val="21"/>
                <w:lang w:val="zh-CN"/>
              </w:rPr>
              <w:t>）</w:t>
            </w:r>
            <w:r>
              <w:rPr>
                <w:rFonts w:hint="eastAsia" w:ascii="宋体" w:hAnsi="宋体" w:eastAsia="宋体" w:cs="Times New Roman"/>
                <w:szCs w:val="21"/>
                <w:lang w:val="zh-CN"/>
              </w:rPr>
              <w:t>，同时</w:t>
            </w:r>
            <w:r>
              <w:rPr>
                <w:rFonts w:hint="eastAsia" w:ascii="宋体" w:hAnsi="宋体" w:eastAsia="宋体" w:cs="Times New Roman"/>
                <w:szCs w:val="21"/>
              </w:rPr>
              <w:t>具备</w:t>
            </w:r>
            <w:r>
              <w:rPr>
                <w:rFonts w:hint="eastAsia" w:ascii="宋体" w:hAnsi="宋体" w:eastAsia="宋体" w:cs="Times New Roman"/>
                <w:szCs w:val="21"/>
                <w:lang w:val="zh-CN"/>
              </w:rPr>
              <w:t>培训的讲师，</w:t>
            </w:r>
            <w:r>
              <w:rPr>
                <w:rFonts w:hint="eastAsia" w:ascii="宋体" w:hAnsi="宋体" w:eastAsia="宋体" w:cs="Times New Roman"/>
                <w:szCs w:val="21"/>
              </w:rPr>
              <w:t>讲师</w:t>
            </w:r>
            <w:r>
              <w:rPr>
                <w:rFonts w:hint="eastAsia" w:ascii="宋体" w:hAnsi="宋体" w:eastAsia="宋体" w:cs="Times New Roman"/>
                <w:szCs w:val="21"/>
                <w:lang w:val="zh-CN"/>
              </w:rPr>
              <w:t>需具备国际认证的CTT+培训资格</w:t>
            </w:r>
            <w:r>
              <w:rPr>
                <w:rFonts w:hint="eastAsia" w:ascii="宋体" w:hAnsi="宋体" w:eastAsia="宋体" w:cs="Times New Roman"/>
                <w:b/>
                <w:bCs/>
                <w:szCs w:val="21"/>
                <w:lang w:val="zh-CN"/>
              </w:rPr>
              <w:t>（</w:t>
            </w:r>
            <w:r>
              <w:rPr>
                <w:rFonts w:hint="eastAsia" w:ascii="宋体" w:hAnsi="宋体" w:eastAsia="宋体" w:cs="Times New Roman"/>
                <w:b/>
                <w:bCs/>
                <w:szCs w:val="21"/>
              </w:rPr>
              <w:t>投标文件中</w:t>
            </w:r>
            <w:r>
              <w:rPr>
                <w:rFonts w:hint="eastAsia" w:ascii="宋体" w:hAnsi="宋体" w:eastAsia="宋体" w:cs="Times New Roman"/>
                <w:b/>
                <w:bCs/>
                <w:szCs w:val="21"/>
                <w:lang w:val="zh-CN"/>
              </w:rPr>
              <w:t>提供</w:t>
            </w:r>
            <w:r>
              <w:rPr>
                <w:rFonts w:hint="eastAsia" w:ascii="宋体" w:hAnsi="宋体" w:eastAsia="宋体" w:cs="Times New Roman"/>
                <w:b/>
                <w:bCs/>
                <w:szCs w:val="21"/>
              </w:rPr>
              <w:t>资格证书</w:t>
            </w:r>
            <w:r>
              <w:rPr>
                <w:rFonts w:hint="eastAsia" w:ascii="宋体" w:hAnsi="宋体" w:eastAsia="宋体" w:cs="Times New Roman"/>
                <w:b/>
                <w:bCs/>
                <w:szCs w:val="21"/>
                <w:lang w:val="zh-CN"/>
              </w:rPr>
              <w:t>复印件</w:t>
            </w:r>
            <w:r>
              <w:rPr>
                <w:rFonts w:hint="eastAsia" w:ascii="宋体" w:hAnsi="宋体" w:eastAsia="宋体" w:cs="Times New Roman"/>
                <w:b/>
                <w:bCs/>
                <w:szCs w:val="21"/>
              </w:rPr>
              <w:t>并</w:t>
            </w:r>
            <w:r>
              <w:rPr>
                <w:rFonts w:hint="eastAsia" w:ascii="宋体" w:hAnsi="宋体" w:eastAsia="宋体" w:cs="Times New Roman"/>
                <w:b/>
                <w:bCs/>
                <w:szCs w:val="21"/>
                <w:lang w:val="zh-CN"/>
              </w:rPr>
              <w:t>加盖</w:t>
            </w:r>
            <w:r>
              <w:rPr>
                <w:rFonts w:hint="eastAsia" w:ascii="宋体" w:hAnsi="宋体" w:eastAsia="宋体" w:cs="Times New Roman"/>
                <w:b/>
                <w:bCs/>
                <w:szCs w:val="21"/>
              </w:rPr>
              <w:t>投标人</w:t>
            </w:r>
            <w:r>
              <w:rPr>
                <w:rFonts w:hint="eastAsia" w:ascii="宋体" w:hAnsi="宋体" w:eastAsia="宋体" w:cs="Times New Roman"/>
                <w:b/>
                <w:bCs/>
                <w:szCs w:val="21"/>
                <w:lang w:val="zh-CN"/>
              </w:rPr>
              <w:t>公章）</w:t>
            </w:r>
            <w:r>
              <w:rPr>
                <w:rFonts w:hint="eastAsia" w:ascii="宋体" w:hAnsi="宋体" w:eastAsia="宋体" w:cs="Times New Roman"/>
                <w:szCs w:val="21"/>
                <w:lang w:val="zh-CN"/>
              </w:rPr>
              <w:t>。</w:t>
            </w:r>
          </w:p>
        </w:tc>
      </w:tr>
    </w:tbl>
    <w:p>
      <w:pPr>
        <w:spacing w:line="440" w:lineRule="exact"/>
        <w:rPr>
          <w:rFonts w:ascii="宋体" w:hAnsi="宋体"/>
          <w:b/>
          <w:color w:val="000000" w:themeColor="text1"/>
          <w:sz w:val="28"/>
          <w:szCs w:val="28"/>
          <w14:textFill>
            <w14:solidFill>
              <w14:schemeClr w14:val="tx1"/>
            </w14:solidFill>
          </w14:textFill>
        </w:rPr>
      </w:pPr>
    </w:p>
    <w:p>
      <w:p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三、商务要求：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7599"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599" w:type="dxa"/>
            <w:vAlign w:val="center"/>
          </w:tcPr>
          <w:p>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付款方式：</w:t>
            </w:r>
          </w:p>
          <w:p>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1.按季度结算，实行先服务后付款方式。每个季度末，乙方提供该季度服务费的等额普通发票，甲方收到发票并审核无误后，支付该笔款项。</w:t>
            </w:r>
          </w:p>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2.因任何原因所致维保期间设备报废，维保服务终止，按实际维保时间结算费用。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599" w:type="dxa"/>
          </w:tcPr>
          <w:p>
            <w:pPr>
              <w:spacing w:line="440" w:lineRule="exact"/>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年度维保报告书：按医院“三甲”要求，每维保年度结束后一个月内提交该设备的“年度维保报告书”（一式2份，加盖公章），内容包括：年度内维修记录，保养记录。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599" w:type="dxa"/>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验收要求 </w:t>
            </w:r>
          </w:p>
          <w:p>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1.中标人每次对设备维修保养后须提供纸质记录，并经采购人签字确认服务内容。</w:t>
            </w:r>
          </w:p>
          <w:p>
            <w:pPr>
              <w:spacing w:line="440" w:lineRule="exact"/>
              <w:rPr>
                <w:rFonts w:ascii="宋体" w:hAnsi="宋体"/>
                <w:bCs/>
                <w:color w:val="000000" w:themeColor="text1"/>
                <w:szCs w:val="21"/>
                <w14:textFill>
                  <w14:solidFill>
                    <w14:schemeClr w14:val="tx1"/>
                  </w14:solidFill>
                </w14:textFill>
              </w:rPr>
            </w:pPr>
            <w:r>
              <w:rPr>
                <w:rFonts w:ascii="宋体" w:hAnsi="宋体"/>
                <w:bCs/>
                <w:strike w:val="0"/>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 xml:space="preserve">年度服务结束后，中标人应于验收前向科室提供年度维保报告书，医院组织验收。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599" w:type="dxa"/>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报价要求</w:t>
            </w:r>
          </w:p>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报价应包含本项目维保范围内的医疗设备在合同有效期内进行维保所发生的一切费用，如标的设备维修维护保养（含零件及人工、配件、材料、工时、差旅、仓储、运输、节假日服务等）、一切税费（包括关税、增值税等）、保险费、调试、验收、资料等相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599" w:type="dxa"/>
          </w:tcPr>
          <w:p>
            <w:pPr>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采购需求和评分项中的“维修服务商”指具备维修服务能力且与投标人具有授权关系或合作关系的服务单位。</w:t>
            </w:r>
            <w:r>
              <w:rPr>
                <w:rFonts w:hint="eastAsia" w:ascii="宋体" w:hAnsi="宋体"/>
                <w:b/>
                <w:color w:val="000000" w:themeColor="text1"/>
                <w:szCs w:val="21"/>
                <w14:textFill>
                  <w14:solidFill>
                    <w14:schemeClr w14:val="tx1"/>
                  </w14:solidFill>
                </w14:textFill>
              </w:rPr>
              <w:t>投标文件中提供授权关系或合作关系证明文件复印件并加盖投标人公章（投标人没有“维修服务商”的，可以不提供）。</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创艺简标宋">
    <w:altName w:val="Microsoft YaHei UI"/>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101055"/>
    <w:rsid w:val="00172098"/>
    <w:rsid w:val="001F3DF0"/>
    <w:rsid w:val="0021765C"/>
    <w:rsid w:val="0023139D"/>
    <w:rsid w:val="00293342"/>
    <w:rsid w:val="002D465D"/>
    <w:rsid w:val="002E1EB5"/>
    <w:rsid w:val="0035345C"/>
    <w:rsid w:val="003A3903"/>
    <w:rsid w:val="003F4B3D"/>
    <w:rsid w:val="00527C0D"/>
    <w:rsid w:val="00544162"/>
    <w:rsid w:val="005459E1"/>
    <w:rsid w:val="0063702E"/>
    <w:rsid w:val="00697BB0"/>
    <w:rsid w:val="00857CF3"/>
    <w:rsid w:val="00914200"/>
    <w:rsid w:val="00932F4E"/>
    <w:rsid w:val="009347C6"/>
    <w:rsid w:val="00987B50"/>
    <w:rsid w:val="009E2D17"/>
    <w:rsid w:val="00A25AA4"/>
    <w:rsid w:val="00B063B7"/>
    <w:rsid w:val="00BA73BA"/>
    <w:rsid w:val="00C404BE"/>
    <w:rsid w:val="00C64DF1"/>
    <w:rsid w:val="00D03E7C"/>
    <w:rsid w:val="00DF2464"/>
    <w:rsid w:val="00ED1DC3"/>
    <w:rsid w:val="00F77392"/>
    <w:rsid w:val="01C15ED7"/>
    <w:rsid w:val="01E933D0"/>
    <w:rsid w:val="05AE53ED"/>
    <w:rsid w:val="07620875"/>
    <w:rsid w:val="0B462714"/>
    <w:rsid w:val="0C583667"/>
    <w:rsid w:val="0D55237A"/>
    <w:rsid w:val="0EDA5F4A"/>
    <w:rsid w:val="0F3A0931"/>
    <w:rsid w:val="11215D00"/>
    <w:rsid w:val="116F5E3C"/>
    <w:rsid w:val="11BE7D21"/>
    <w:rsid w:val="11D706B9"/>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5025E2"/>
    <w:rsid w:val="23683A18"/>
    <w:rsid w:val="23E7584F"/>
    <w:rsid w:val="268A1BB3"/>
    <w:rsid w:val="2A885D27"/>
    <w:rsid w:val="2AA33888"/>
    <w:rsid w:val="2BCD34F4"/>
    <w:rsid w:val="2D5D7614"/>
    <w:rsid w:val="2E712EDD"/>
    <w:rsid w:val="2EBD544A"/>
    <w:rsid w:val="2F4263DE"/>
    <w:rsid w:val="2F980E41"/>
    <w:rsid w:val="2FB36F7C"/>
    <w:rsid w:val="32A966F2"/>
    <w:rsid w:val="34326E09"/>
    <w:rsid w:val="344E7EEC"/>
    <w:rsid w:val="34AF794B"/>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87E398B"/>
    <w:rsid w:val="59480742"/>
    <w:rsid w:val="5CEB018E"/>
    <w:rsid w:val="5D4446FE"/>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A297E"/>
    <w:rsid w:val="6E7D7016"/>
    <w:rsid w:val="6EE6418B"/>
    <w:rsid w:val="6F8010C8"/>
    <w:rsid w:val="6F957CEC"/>
    <w:rsid w:val="6FB54CDB"/>
    <w:rsid w:val="7072611F"/>
    <w:rsid w:val="73A94275"/>
    <w:rsid w:val="7547180C"/>
    <w:rsid w:val="7B104B4E"/>
    <w:rsid w:val="7B47043A"/>
    <w:rsid w:val="7B6242F2"/>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annotation text"/>
    <w:basedOn w:val="1"/>
    <w:unhideWhenUsed/>
    <w:qFormat/>
    <w:uiPriority w:val="0"/>
    <w:pPr>
      <w:jc w:val="left"/>
    </w:p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paragraph" w:styleId="9">
    <w:name w:val="Normal (Web)"/>
    <w:uiPriority w:val="0"/>
    <w:pPr>
      <w:spacing w:before="100" w:beforeAutospacing="1" w:after="100" w:afterAutospacing="1"/>
    </w:pPr>
    <w:rPr>
      <w:rFonts w:ascii="宋体" w:hAnsi="Times New Roman" w:eastAsia="宋体" w:cs="Times New Roman"/>
      <w:sz w:val="24"/>
      <w:szCs w:val="21"/>
      <w:lang w:val="en-US" w:eastAsia="zh-CN" w:bidi="ar-SA"/>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7"/>
    <w:qFormat/>
    <w:uiPriority w:val="0"/>
    <w:rPr>
      <w:rFonts w:ascii="Times New Roman" w:hAnsi="Times New Roman" w:eastAsia="宋体" w:cs="Times New Roman"/>
      <w:kern w:val="2"/>
      <w:sz w:val="18"/>
      <w:szCs w:val="18"/>
    </w:rPr>
  </w:style>
  <w:style w:type="paragraph" w:customStyle="1" w:styleId="17">
    <w:name w:val="4 正文"/>
    <w:basedOn w:val="9"/>
    <w:uiPriority w:val="0"/>
    <w:pPr>
      <w:widowControl w:val="0"/>
      <w:adjustRightInd w:val="0"/>
      <w:snapToGrid w:val="0"/>
      <w:spacing w:before="0" w:beforeAutospacing="0" w:after="0" w:afterAutospacing="0" w:line="560" w:lineRule="exact"/>
      <w:ind w:firstLine="200" w:firstLineChars="200"/>
    </w:pPr>
    <w:rPr>
      <w:rFonts w:ascii="仿宋_GB2312" w:eastAsia="仿宋_GB2312"/>
      <w:color w:val="000000"/>
      <w:kern w:val="2"/>
      <w:sz w:val="32"/>
      <w:szCs w:val="32"/>
    </w:rPr>
  </w:style>
  <w:style w:type="paragraph" w:customStyle="1" w:styleId="18">
    <w:name w:val="2 二级标题"/>
    <w:basedOn w:val="1"/>
    <w:uiPriority w:val="0"/>
    <w:pPr>
      <w:adjustRightInd w:val="0"/>
      <w:snapToGrid w:val="0"/>
      <w:spacing w:line="560" w:lineRule="exact"/>
      <w:ind w:firstLine="200" w:firstLineChars="200"/>
    </w:pPr>
    <w:rPr>
      <w:rFonts w:ascii="楷体_GB2312" w:eastAsia="楷体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F9527-2188-4400-B727-5DBE30C6BE12}">
  <ds:schemaRefs/>
</ds:datastoreItem>
</file>

<file path=docProps/app.xml><?xml version="1.0" encoding="utf-8"?>
<Properties xmlns="http://schemas.openxmlformats.org/officeDocument/2006/extended-properties" xmlns:vt="http://schemas.openxmlformats.org/officeDocument/2006/docPropsVTypes">
  <Template>Normal</Template>
  <Pages>6</Pages>
  <Words>3271</Words>
  <Characters>3453</Characters>
  <Lines>5</Lines>
  <Paragraphs>1</Paragraphs>
  <TotalTime>3</TotalTime>
  <ScaleCrop>false</ScaleCrop>
  <LinksUpToDate>false</LinksUpToDate>
  <CharactersWithSpaces>3552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2020-12-17T01:10:00Z</dcterms:created>
  <dc:creator>2420</dc:creator>
  <cp:lastModifiedBy>Paula</cp:lastModifiedBy>
  <dcterms:modified xsi:type="dcterms:W3CDTF">2023-07-17T06:48:16Z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50AD1AEE092C4A6FB177673F78501C9B_13</vt:lpwstr>
  </property>
</Properties>
</file>