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报价资料包括：</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（2）偏离表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（3）法定代表人证明书及其授权委托书</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（4）厂家资质证件（包括但不限于营业执照、医疗器械生产许可证等）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（5）各级经销商资质证件（包括但不限于营业执照、医疗器械经营许可证、备案等）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（6）产品医疗器械注册证</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（7）供应商提供承诺函，该承诺函包括但不限于以下内容:承诺中标后须在中标公告发布之日起五个工作日内提供设备制造厂商开具并盖章的合法有效的针对本项目的授权函盖鲜章原件、厂家售后服务承诺函原件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（8）供应商售后服务承诺函</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（9）产品配置清单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（10）产品彩页</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（11）试剂耗材询价情况一览表（额外再发一份该表的word文档形式的到邮箱）</w:t>
      </w:r>
    </w:p>
    <w:p>
      <w:pPr>
        <w:jc w:val="center"/>
        <w:rPr>
          <w:rFonts w:hint="eastAsia"/>
          <w:color w:val="auto"/>
          <w:sz w:val="44"/>
          <w:szCs w:val="44"/>
          <w:highlight w:val="none"/>
          <w:lang w:val="en-US" w:eastAsia="zh-CN"/>
        </w:rPr>
      </w:pPr>
    </w:p>
    <w:p>
      <w:pPr>
        <w:pStyle w:val="4"/>
        <w:rPr>
          <w:rFonts w:hint="eastAsia"/>
          <w:color w:val="auto"/>
          <w:sz w:val="44"/>
          <w:szCs w:val="44"/>
          <w:highlight w:val="none"/>
          <w:lang w:val="en-US" w:eastAsia="zh-CN"/>
        </w:rPr>
      </w:pPr>
    </w:p>
    <w:p>
      <w:pPr>
        <w:pStyle w:val="4"/>
        <w:rPr>
          <w:rFonts w:hint="eastAsia"/>
          <w:color w:val="auto"/>
          <w:sz w:val="44"/>
          <w:szCs w:val="44"/>
          <w:highlight w:val="none"/>
          <w:lang w:val="en-US" w:eastAsia="zh-CN"/>
        </w:rPr>
      </w:pPr>
    </w:p>
    <w:p>
      <w:pPr>
        <w:pStyle w:val="4"/>
        <w:rPr>
          <w:rFonts w:hint="eastAsia"/>
          <w:highlight w:val="none"/>
          <w:lang w:val="en-US"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p>
    <w:p>
      <w:pPr>
        <w:jc w:val="both"/>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r>
        <w:rPr>
          <w:rFonts w:hint="eastAsia"/>
          <w:color w:val="auto"/>
          <w:sz w:val="44"/>
          <w:szCs w:val="44"/>
          <w:highlight w:val="none"/>
          <w:lang w:val="en-US" w:eastAsia="zh-CN"/>
        </w:rPr>
        <w:t>报价单</w:t>
      </w:r>
    </w:p>
    <w:p>
      <w:pPr>
        <w:rPr>
          <w:rFonts w:hint="eastAsia"/>
          <w:color w:val="auto"/>
          <w:highlight w:val="none"/>
          <w:lang w:val="en-US" w:eastAsia="zh-CN"/>
        </w:rPr>
      </w:pPr>
    </w:p>
    <w:p>
      <w:pPr>
        <w:rPr>
          <w:rFonts w:hint="eastAsia"/>
          <w:color w:val="auto"/>
          <w:sz w:val="28"/>
          <w:szCs w:val="28"/>
          <w:highlight w:val="none"/>
          <w:lang w:val="en-US" w:eastAsia="zh-CN"/>
        </w:rPr>
      </w:pPr>
      <w:r>
        <w:rPr>
          <w:rFonts w:hint="eastAsia"/>
          <w:color w:val="auto"/>
          <w:sz w:val="28"/>
          <w:szCs w:val="28"/>
          <w:highlight w:val="none"/>
          <w:lang w:val="en-US" w:eastAsia="zh-CN"/>
        </w:rPr>
        <w:t>致中山市小榄人民医院：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5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设备名称</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设备型号</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厂家/品牌</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产地</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质保期</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数量/单位</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单价（元）</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总价（元）</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耗材报价（如有）</w:t>
            </w:r>
          </w:p>
        </w:tc>
        <w:tc>
          <w:tcPr>
            <w:tcW w:w="5888" w:type="dxa"/>
          </w:tcPr>
          <w:p>
            <w:pPr>
              <w:rPr>
                <w:rFonts w:hint="default"/>
                <w:color w:val="auto"/>
                <w:sz w:val="28"/>
                <w:szCs w:val="28"/>
                <w:highlight w:val="none"/>
                <w:vertAlign w:val="baseline"/>
                <w:lang w:val="en-US" w:eastAsia="zh-CN"/>
              </w:rPr>
            </w:pPr>
          </w:p>
        </w:tc>
      </w:tr>
    </w:tbl>
    <w:p>
      <w:pPr>
        <w:rPr>
          <w:rFonts w:hint="default"/>
          <w:color w:val="auto"/>
          <w:highlight w:val="none"/>
          <w:lang w:val="en-US" w:eastAsia="zh-CN"/>
        </w:rPr>
      </w:pPr>
    </w:p>
    <w:p>
      <w:pPr>
        <w:jc w:val="center"/>
        <w:rPr>
          <w:rFonts w:hint="eastAsia"/>
          <w:color w:val="auto"/>
          <w:sz w:val="28"/>
          <w:szCs w:val="28"/>
          <w:highlight w:val="none"/>
          <w:lang w:val="en-US" w:eastAsia="zh-CN"/>
        </w:rPr>
      </w:pPr>
      <w:r>
        <w:rPr>
          <w:rFonts w:hint="eastAsia"/>
          <w:color w:val="auto"/>
          <w:sz w:val="28"/>
          <w:szCs w:val="28"/>
          <w:highlight w:val="none"/>
          <w:lang w:val="en-US" w:eastAsia="zh-CN"/>
        </w:rPr>
        <w:t xml:space="preserve">  报价公司（盖章）：</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报价联系人：</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联系方式：</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 xml:space="preserve">报价时间：  </w:t>
      </w: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jc w:val="center"/>
        <w:rPr>
          <w:rFonts w:hint="eastAsia"/>
          <w:b/>
          <w:bCs/>
          <w:color w:val="auto"/>
          <w:sz w:val="30"/>
          <w:szCs w:val="30"/>
          <w:highlight w:val="none"/>
          <w:lang w:val="en-US" w:eastAsia="zh-CN"/>
        </w:rPr>
      </w:pPr>
      <w:r>
        <w:rPr>
          <w:rFonts w:hint="eastAsia"/>
          <w:b/>
          <w:bCs/>
          <w:color w:val="auto"/>
          <w:sz w:val="30"/>
          <w:szCs w:val="30"/>
          <w:highlight w:val="none"/>
          <w:lang w:val="en-US" w:eastAsia="zh-CN"/>
        </w:rPr>
        <w:t>广东省药品电子交易平台耗材信息表（如有）</w:t>
      </w:r>
    </w:p>
    <w:p>
      <w:pPr>
        <w:jc w:val="both"/>
        <w:rPr>
          <w:rFonts w:hint="eastAsia"/>
          <w:color w:val="auto"/>
          <w:sz w:val="28"/>
          <w:szCs w:val="28"/>
          <w:highlight w:val="none"/>
          <w:lang w:val="en-US" w:eastAsia="zh-CN"/>
        </w:rPr>
      </w:pPr>
      <w:r>
        <w:rPr>
          <w:rFonts w:hint="eastAsia"/>
          <w:color w:val="auto"/>
          <w:sz w:val="28"/>
          <w:szCs w:val="28"/>
          <w:highlight w:val="none"/>
          <w:lang w:val="en-US" w:eastAsia="zh-CN"/>
        </w:rPr>
        <w:t>请按广东省药品电子交易平台填写以下信息：</w:t>
      </w:r>
    </w:p>
    <w:tbl>
      <w:tblPr>
        <w:tblStyle w:val="12"/>
        <w:tblW w:w="55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983"/>
        <w:gridCol w:w="1084"/>
        <w:gridCol w:w="652"/>
        <w:gridCol w:w="898"/>
        <w:gridCol w:w="583"/>
        <w:gridCol w:w="567"/>
        <w:gridCol w:w="1359"/>
        <w:gridCol w:w="1165"/>
        <w:gridCol w:w="822"/>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4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47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1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0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cyan"/>
                <w:u w:val="none"/>
                <w:lang w:val="en-US" w:eastAsia="zh-CN" w:bidi="ar"/>
              </w:rPr>
              <w:t>省平台限价（元</w:t>
            </w:r>
            <w:r>
              <w:rPr>
                <w:rFonts w:hint="eastAsia" w:ascii="宋体" w:hAnsi="宋体" w:eastAsia="宋体" w:cs="宋体"/>
                <w:i w:val="0"/>
                <w:iCs w:val="0"/>
                <w:color w:val="000000"/>
                <w:kern w:val="0"/>
                <w:sz w:val="20"/>
                <w:szCs w:val="20"/>
                <w:u w:val="none"/>
                <w:lang w:val="en-US" w:eastAsia="zh-CN" w:bidi="ar"/>
              </w:rPr>
              <w:t>）</w:t>
            </w:r>
          </w:p>
        </w:tc>
        <w:tc>
          <w:tcPr>
            <w:tcW w:w="43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报价（元）</w:t>
            </w:r>
          </w:p>
        </w:tc>
        <w:tc>
          <w:tcPr>
            <w:tcW w:w="33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4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47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1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0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19"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3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33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2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76"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4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0"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19"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2"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2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76"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4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0"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19"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2" w:type="pct"/>
            <w:shd w:val="clear" w:color="auto" w:fill="auto"/>
            <w:noWrap/>
            <w:vAlign w:val="center"/>
          </w:tcPr>
          <w:p>
            <w:pPr>
              <w:rPr>
                <w:rFonts w:hint="eastAsia" w:ascii="宋体" w:hAnsi="宋体" w:eastAsia="宋体" w:cs="宋体"/>
                <w:i w:val="0"/>
                <w:iCs w:val="0"/>
                <w:color w:val="000000"/>
                <w:sz w:val="18"/>
                <w:szCs w:val="18"/>
                <w:u w:val="none"/>
              </w:rPr>
            </w:pPr>
          </w:p>
        </w:tc>
      </w:tr>
    </w:tbl>
    <w:p>
      <w:pPr>
        <w:jc w:val="center"/>
        <w:rPr>
          <w:rFonts w:hint="eastAsia"/>
          <w:color w:val="auto"/>
          <w:sz w:val="28"/>
          <w:szCs w:val="28"/>
          <w:highlight w:val="none"/>
          <w:lang w:val="en-US" w:eastAsia="zh-CN"/>
        </w:rPr>
      </w:pPr>
      <w:r>
        <w:rPr>
          <w:rFonts w:hint="eastAsia"/>
          <w:color w:val="auto"/>
          <w:sz w:val="28"/>
          <w:szCs w:val="28"/>
          <w:highlight w:val="none"/>
          <w:lang w:val="en-US" w:eastAsia="zh-CN"/>
        </w:rPr>
        <w:t>报价公司（盖章）：</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报价联系人：</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联系方式：</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 xml:space="preserve">报价时间：  </w:t>
      </w: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pStyle w:val="2"/>
        <w:rPr>
          <w:rFonts w:hint="default"/>
          <w:color w:val="auto"/>
          <w:sz w:val="28"/>
          <w:szCs w:val="28"/>
          <w:highlight w:val="none"/>
          <w:lang w:val="en-US" w:eastAsia="zh-CN"/>
        </w:rPr>
      </w:pPr>
    </w:p>
    <w:p>
      <w:pPr>
        <w:pStyle w:val="3"/>
        <w:rPr>
          <w:rFonts w:hint="default"/>
          <w:color w:val="auto"/>
          <w:sz w:val="28"/>
          <w:szCs w:val="28"/>
          <w:highlight w:val="none"/>
          <w:lang w:val="en-US" w:eastAsia="zh-CN"/>
        </w:rPr>
      </w:pPr>
    </w:p>
    <w:p>
      <w:pPr>
        <w:rPr>
          <w:rFonts w:hint="default"/>
          <w:lang w:val="en-US" w:eastAsia="zh-CN"/>
        </w:rPr>
      </w:pPr>
    </w:p>
    <w:p>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参数偏离情况报</w:t>
      </w:r>
    </w:p>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填写要求：</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请按用户需求的要求逐条响应，正负偏离参数请备注说明。</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的参数是必须完全响应的参数。</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所投产品的参数满足率≥90％方视为满足需求的合格产品。</w:t>
      </w:r>
    </w:p>
    <w:p>
      <w:pPr>
        <w:numPr>
          <w:ilvl w:val="0"/>
          <w:numId w:val="2"/>
        </w:num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技术要求：（请按用户需求里的技术要求及配置要求逐条响应）</w:t>
      </w:r>
    </w:p>
    <w:tbl>
      <w:tblPr>
        <w:tblStyle w:val="13"/>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900"/>
        <w:gridCol w:w="1250"/>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技术参数项目</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完全响应或正/负偏离</w:t>
            </w: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900"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lang w:val="en-US" w:eastAsia="zh-CN"/>
              </w:rPr>
              <w:t>仪器功能要求：该设备为一体机，单机可同时检测血常规五分类、网织红细胞、hsCRP及SAA等检测项目。CBC＋DIFF ≥90个样本/小时。</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rPr>
              <w:t>检测方法及原理：</w:t>
            </w:r>
            <w:r>
              <w:rPr>
                <w:rFonts w:hint="eastAsia" w:ascii="宋体" w:hAnsi="宋体" w:cs="宋体"/>
                <w:color w:val="auto"/>
                <w:sz w:val="21"/>
                <w:szCs w:val="21"/>
                <w:highlight w:val="none"/>
                <w:lang w:val="en-US" w:eastAsia="zh-CN"/>
              </w:rPr>
              <w:t>血常规分析</w:t>
            </w:r>
            <w:r>
              <w:rPr>
                <w:rFonts w:hint="eastAsia" w:ascii="宋体" w:hAnsi="宋体" w:eastAsia="宋体" w:cs="宋体"/>
                <w:color w:val="auto"/>
                <w:sz w:val="21"/>
                <w:szCs w:val="21"/>
                <w:highlight w:val="none"/>
              </w:rPr>
              <w:t>采用半导体激光法、鞘流电阻抗法、荧光染色法和流式细胞技术原理</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1"/>
                <w:szCs w:val="21"/>
                <w:highlight w:val="none"/>
                <w:lang w:val="en-US" w:eastAsia="zh-CN"/>
              </w:rPr>
              <w:t>血常规</w:t>
            </w:r>
            <w:r>
              <w:rPr>
                <w:rFonts w:hint="eastAsia" w:ascii="宋体" w:hAnsi="宋体" w:eastAsia="宋体" w:cs="宋体"/>
                <w:color w:val="auto"/>
                <w:sz w:val="21"/>
                <w:szCs w:val="21"/>
                <w:highlight w:val="none"/>
              </w:rPr>
              <w:t>检测参数：≥</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项可报告参数（不含</w:t>
            </w:r>
            <w:r>
              <w:rPr>
                <w:rFonts w:hint="eastAsia" w:ascii="宋体" w:hAnsi="宋体" w:eastAsia="宋体" w:cs="宋体"/>
                <w:color w:val="auto"/>
                <w:sz w:val="21"/>
                <w:szCs w:val="21"/>
                <w:highlight w:val="none"/>
                <w:lang w:eastAsia="zh-CN"/>
              </w:rPr>
              <w:t>研究参数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，另有直方图和散点图，且拟提供的机型通过FDA认证。</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900" w:type="dxa"/>
            <w:vAlign w:val="top"/>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rPr>
              <w:t>线性范围（</w:t>
            </w:r>
            <w:r>
              <w:rPr>
                <w:rFonts w:hint="eastAsia" w:ascii="宋体" w:hAnsi="宋体" w:eastAsia="宋体" w:cs="宋体"/>
                <w:color w:val="auto"/>
                <w:sz w:val="21"/>
                <w:szCs w:val="21"/>
                <w:highlight w:val="none"/>
                <w:lang w:eastAsia="zh-CN"/>
              </w:rPr>
              <w:t>全血模式</w:t>
            </w:r>
            <w:r>
              <w:rPr>
                <w:rFonts w:hint="eastAsia" w:ascii="宋体" w:hAnsi="宋体" w:eastAsia="宋体" w:cs="宋体"/>
                <w:color w:val="auto"/>
                <w:sz w:val="21"/>
                <w:szCs w:val="21"/>
                <w:highlight w:val="none"/>
              </w:rPr>
              <w:t>）：白细胞：（0-400）</w:t>
            </w:r>
            <w:r>
              <w:rPr>
                <w:rFonts w:hint="eastAsia" w:ascii="宋体" w:hAnsi="宋体" w:eastAsia="宋体" w:cs="宋体"/>
                <w:color w:val="auto"/>
                <w:sz w:val="21"/>
                <w:szCs w:val="21"/>
                <w:highlight w:val="none"/>
              </w:rPr>
              <w:sym w:font="Symbol" w:char="F0B4"/>
            </w:r>
            <w:r>
              <w:rPr>
                <w:rFonts w:hint="eastAsia" w:ascii="宋体" w:hAnsi="宋体" w:eastAsia="宋体" w:cs="宋体"/>
                <w:color w:val="auto"/>
                <w:sz w:val="21"/>
                <w:szCs w:val="21"/>
                <w:highlight w:val="none"/>
              </w:rPr>
              <w:t xml:space="preserve"> 10</w:t>
            </w:r>
            <w:r>
              <w:rPr>
                <w:rFonts w:hint="eastAsia" w:ascii="宋体" w:hAnsi="宋体" w:eastAsia="宋体" w:cs="宋体"/>
                <w:color w:val="auto"/>
                <w:sz w:val="21"/>
                <w:szCs w:val="21"/>
                <w:highlight w:val="none"/>
                <w:vertAlign w:val="superscript"/>
              </w:rPr>
              <w:t>9</w:t>
            </w:r>
            <w:r>
              <w:rPr>
                <w:rFonts w:hint="eastAsia" w:ascii="宋体" w:hAnsi="宋体" w:eastAsia="宋体" w:cs="宋体"/>
                <w:color w:val="auto"/>
                <w:sz w:val="21"/>
                <w:szCs w:val="21"/>
                <w:highlight w:val="none"/>
              </w:rPr>
              <w:t>/L，红细胞：（0.3-</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sym w:font="Symbol" w:char="F0B4"/>
            </w:r>
            <w:r>
              <w:rPr>
                <w:rFonts w:hint="eastAsia" w:ascii="宋体" w:hAnsi="宋体" w:eastAsia="宋体" w:cs="宋体"/>
                <w:color w:val="auto"/>
                <w:sz w:val="21"/>
                <w:szCs w:val="21"/>
                <w:highlight w:val="none"/>
              </w:rPr>
              <w:t xml:space="preserve"> 10</w:t>
            </w:r>
            <w:r>
              <w:rPr>
                <w:rFonts w:hint="eastAsia" w:ascii="宋体" w:hAnsi="宋体" w:eastAsia="宋体" w:cs="宋体"/>
                <w:color w:val="auto"/>
                <w:sz w:val="21"/>
                <w:szCs w:val="21"/>
                <w:highlight w:val="none"/>
                <w:vertAlign w:val="superscript"/>
              </w:rPr>
              <w:t>12</w:t>
            </w:r>
            <w:r>
              <w:rPr>
                <w:rFonts w:hint="eastAsia" w:ascii="宋体" w:hAnsi="宋体" w:eastAsia="宋体" w:cs="宋体"/>
                <w:color w:val="auto"/>
                <w:sz w:val="21"/>
                <w:szCs w:val="21"/>
                <w:highlight w:val="none"/>
              </w:rPr>
              <w:t>/L，血小板：（0-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000）</w:t>
            </w:r>
            <w:r>
              <w:rPr>
                <w:rFonts w:hint="eastAsia" w:ascii="宋体" w:hAnsi="宋体" w:eastAsia="宋体" w:cs="宋体"/>
                <w:color w:val="auto"/>
                <w:sz w:val="21"/>
                <w:szCs w:val="21"/>
                <w:highlight w:val="none"/>
              </w:rPr>
              <w:sym w:font="Symbol" w:char="F0B4"/>
            </w:r>
            <w:r>
              <w:rPr>
                <w:rFonts w:hint="eastAsia" w:ascii="宋体" w:hAnsi="宋体" w:eastAsia="宋体" w:cs="宋体"/>
                <w:color w:val="auto"/>
                <w:sz w:val="21"/>
                <w:szCs w:val="21"/>
                <w:highlight w:val="none"/>
              </w:rPr>
              <w:t xml:space="preserve"> 10</w:t>
            </w:r>
            <w:r>
              <w:rPr>
                <w:rFonts w:hint="eastAsia" w:ascii="宋体" w:hAnsi="宋体" w:eastAsia="宋体" w:cs="宋体"/>
                <w:color w:val="auto"/>
                <w:sz w:val="21"/>
                <w:szCs w:val="21"/>
                <w:highlight w:val="none"/>
                <w:vertAlign w:val="superscript"/>
              </w:rPr>
              <w:t>9</w:t>
            </w:r>
            <w:r>
              <w:rPr>
                <w:rFonts w:hint="eastAsia" w:ascii="宋体" w:hAnsi="宋体" w:eastAsia="宋体" w:cs="宋体"/>
                <w:color w:val="auto"/>
                <w:sz w:val="21"/>
                <w:szCs w:val="21"/>
                <w:highlight w:val="none"/>
              </w:rPr>
              <w:t>/L</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hs</w:t>
            </w:r>
            <w:r>
              <w:rPr>
                <w:rFonts w:hint="eastAsia" w:ascii="宋体" w:hAnsi="宋体" w:eastAsia="宋体" w:cs="宋体"/>
                <w:color w:val="auto"/>
                <w:sz w:val="21"/>
                <w:szCs w:val="21"/>
                <w:highlight w:val="none"/>
                <w:lang w:val="en-US" w:eastAsia="zh-CN"/>
              </w:rPr>
              <w:t>CRP：0.2-300mg/L；SAA：5-200mg/L</w:t>
            </w:r>
            <w:r>
              <w:rPr>
                <w:rFonts w:hint="eastAsia" w:ascii="宋体" w:hAnsi="宋体" w:eastAsia="宋体" w:cs="宋体"/>
                <w:color w:val="auto"/>
                <w:sz w:val="21"/>
                <w:szCs w:val="21"/>
                <w:highlight w:val="none"/>
                <w:lang w:eastAsia="zh-CN"/>
              </w:rPr>
              <w:t>。</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color w:val="auto"/>
                <w:sz w:val="24"/>
                <w:highlight w:val="none"/>
              </w:rPr>
              <w:t>检测模式：至少包含</w:t>
            </w:r>
            <w:r>
              <w:rPr>
                <w:rFonts w:ascii="宋体" w:hAnsi="宋体"/>
                <w:color w:val="auto"/>
                <w:sz w:val="24"/>
                <w:highlight w:val="none"/>
              </w:rPr>
              <w:t>CBC+DIFF+</w:t>
            </w:r>
            <w:r>
              <w:rPr>
                <w:rFonts w:hint="eastAsia" w:ascii="宋体" w:hAnsi="宋体" w:cs="宋体"/>
                <w:color w:val="auto"/>
                <w:sz w:val="21"/>
                <w:szCs w:val="21"/>
                <w:highlight w:val="none"/>
                <w:lang w:val="en-US" w:eastAsia="zh-CN"/>
              </w:rPr>
              <w:t>hs</w:t>
            </w:r>
            <w:r>
              <w:rPr>
                <w:rFonts w:ascii="宋体" w:hAnsi="宋体"/>
                <w:color w:val="auto"/>
                <w:sz w:val="24"/>
                <w:highlight w:val="none"/>
              </w:rPr>
              <w:t>CRP</w:t>
            </w:r>
            <w:r>
              <w:rPr>
                <w:rFonts w:hint="eastAsia" w:ascii="宋体" w:hAnsi="宋体"/>
                <w:color w:val="auto"/>
                <w:sz w:val="24"/>
                <w:highlight w:val="none"/>
              </w:rPr>
              <w:t>、</w:t>
            </w:r>
            <w:r>
              <w:rPr>
                <w:rFonts w:ascii="宋体" w:hAnsi="宋体"/>
                <w:color w:val="auto"/>
                <w:sz w:val="24"/>
                <w:highlight w:val="none"/>
              </w:rPr>
              <w:t>CBC+DIFF+SAA</w:t>
            </w:r>
            <w:r>
              <w:rPr>
                <w:rFonts w:hint="eastAsia" w:ascii="宋体" w:hAnsi="宋体"/>
                <w:color w:val="auto"/>
                <w:sz w:val="24"/>
                <w:highlight w:val="none"/>
              </w:rPr>
              <w:t>、</w:t>
            </w:r>
            <w:r>
              <w:rPr>
                <w:rFonts w:hint="eastAsia" w:ascii="宋体" w:hAnsi="宋体" w:cs="宋体"/>
                <w:color w:val="auto"/>
                <w:sz w:val="21"/>
                <w:szCs w:val="21"/>
                <w:highlight w:val="none"/>
                <w:lang w:val="en-US" w:eastAsia="zh-CN"/>
              </w:rPr>
              <w:t>hs</w:t>
            </w:r>
            <w:r>
              <w:rPr>
                <w:rFonts w:ascii="宋体" w:hAnsi="宋体"/>
                <w:color w:val="auto"/>
                <w:sz w:val="24"/>
                <w:highlight w:val="none"/>
              </w:rPr>
              <w:t>CRP</w:t>
            </w:r>
            <w:r>
              <w:rPr>
                <w:rFonts w:hint="eastAsia" w:ascii="宋体" w:hAnsi="宋体"/>
                <w:color w:val="auto"/>
                <w:sz w:val="24"/>
                <w:highlight w:val="none"/>
              </w:rPr>
              <w:t>、</w:t>
            </w:r>
            <w:r>
              <w:rPr>
                <w:rFonts w:ascii="宋体" w:hAnsi="宋体"/>
                <w:color w:val="auto"/>
                <w:sz w:val="24"/>
                <w:highlight w:val="none"/>
              </w:rPr>
              <w:t>SAA</w:t>
            </w:r>
            <w:r>
              <w:rPr>
                <w:rFonts w:hint="eastAsia" w:ascii="宋体" w:hAnsi="宋体"/>
                <w:color w:val="auto"/>
                <w:sz w:val="24"/>
                <w:highlight w:val="none"/>
              </w:rPr>
              <w:t>、</w:t>
            </w:r>
            <w:r>
              <w:rPr>
                <w:rFonts w:hint="eastAsia" w:ascii="宋体" w:hAnsi="宋体" w:cs="宋体"/>
                <w:color w:val="auto"/>
                <w:sz w:val="21"/>
                <w:szCs w:val="21"/>
                <w:highlight w:val="none"/>
                <w:lang w:val="en-US" w:eastAsia="zh-CN"/>
              </w:rPr>
              <w:t>hs</w:t>
            </w:r>
            <w:r>
              <w:rPr>
                <w:rFonts w:ascii="宋体" w:hAnsi="宋体"/>
                <w:color w:val="auto"/>
                <w:sz w:val="24"/>
                <w:highlight w:val="none"/>
              </w:rPr>
              <w:t>CRP+SAA</w:t>
            </w:r>
            <w:r>
              <w:rPr>
                <w:rFonts w:hint="eastAsia" w:ascii="宋体" w:hAnsi="宋体"/>
                <w:color w:val="auto"/>
                <w:sz w:val="24"/>
                <w:highlight w:val="none"/>
              </w:rPr>
              <w:t>、</w:t>
            </w:r>
            <w:r>
              <w:rPr>
                <w:rFonts w:ascii="宋体" w:hAnsi="宋体"/>
                <w:color w:val="auto"/>
                <w:sz w:val="24"/>
                <w:highlight w:val="none"/>
              </w:rPr>
              <w:t>CBC+DIFF+</w:t>
            </w:r>
            <w:r>
              <w:rPr>
                <w:rFonts w:hint="eastAsia" w:ascii="宋体" w:hAnsi="宋体" w:cs="宋体"/>
                <w:color w:val="auto"/>
                <w:sz w:val="21"/>
                <w:szCs w:val="21"/>
                <w:highlight w:val="none"/>
                <w:lang w:val="en-US" w:eastAsia="zh-CN"/>
              </w:rPr>
              <w:t>hs</w:t>
            </w:r>
            <w:r>
              <w:rPr>
                <w:rFonts w:ascii="宋体" w:hAnsi="宋体"/>
                <w:color w:val="auto"/>
                <w:sz w:val="24"/>
                <w:highlight w:val="none"/>
              </w:rPr>
              <w:t>CRP+SAA</w:t>
            </w:r>
            <w:r>
              <w:rPr>
                <w:rFonts w:hint="eastAsia" w:ascii="宋体" w:hAnsi="宋体"/>
                <w:color w:val="auto"/>
                <w:sz w:val="24"/>
                <w:highlight w:val="none"/>
              </w:rPr>
              <w:t>等模式</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1"/>
                <w:szCs w:val="21"/>
                <w:highlight w:val="none"/>
              </w:rPr>
              <w:t>进样方式及用血量：静脉血和末梢全血均可自动批量进样</w:t>
            </w:r>
            <w:r>
              <w:rPr>
                <w:rFonts w:hint="eastAsia" w:ascii="宋体" w:hAnsi="宋体" w:eastAsia="宋体" w:cs="宋体"/>
                <w:b w:val="0"/>
                <w:bCs w:val="0"/>
                <w:color w:val="auto"/>
                <w:sz w:val="21"/>
                <w:szCs w:val="21"/>
                <w:highlight w:val="none"/>
                <w:lang w:eastAsia="zh-CN"/>
              </w:rPr>
              <w:t>和</w:t>
            </w:r>
            <w:r>
              <w:rPr>
                <w:rFonts w:hint="eastAsia" w:ascii="宋体" w:hAnsi="宋体" w:eastAsia="宋体" w:cs="宋体"/>
                <w:b w:val="0"/>
                <w:bCs w:val="0"/>
                <w:color w:val="auto"/>
                <w:sz w:val="21"/>
                <w:szCs w:val="21"/>
                <w:highlight w:val="none"/>
              </w:rPr>
              <w:t>手动进样；</w:t>
            </w:r>
            <w:r>
              <w:rPr>
                <w:rFonts w:hint="eastAsia" w:ascii="宋体" w:hAnsi="宋体" w:eastAsia="宋体" w:cs="宋体"/>
                <w:b w:val="0"/>
                <w:bCs w:val="0"/>
                <w:color w:val="auto"/>
                <w:sz w:val="21"/>
                <w:szCs w:val="21"/>
                <w:highlight w:val="none"/>
                <w:lang w:val="en-US" w:eastAsia="zh-CN"/>
              </w:rPr>
              <w:t>血常规、</w:t>
            </w:r>
            <w:r>
              <w:rPr>
                <w:rFonts w:hint="eastAsia" w:ascii="宋体" w:hAnsi="宋体" w:cs="宋体"/>
                <w:color w:val="auto"/>
                <w:sz w:val="21"/>
                <w:szCs w:val="21"/>
                <w:highlight w:val="none"/>
                <w:lang w:val="en-US" w:eastAsia="zh-CN"/>
              </w:rPr>
              <w:t>hs</w:t>
            </w:r>
            <w:r>
              <w:rPr>
                <w:rFonts w:hint="eastAsia" w:ascii="宋体" w:hAnsi="宋体" w:eastAsia="宋体" w:cs="宋体"/>
                <w:b w:val="0"/>
                <w:bCs w:val="0"/>
                <w:color w:val="auto"/>
                <w:sz w:val="21"/>
                <w:szCs w:val="21"/>
                <w:highlight w:val="none"/>
                <w:lang w:val="en-US" w:eastAsia="zh-CN"/>
              </w:rPr>
              <w:t>CRP、SAA联合检测，静脉全血</w:t>
            </w:r>
            <w:r>
              <w:rPr>
                <w:rFonts w:hint="eastAsia" w:ascii="宋体" w:hAnsi="宋体" w:eastAsia="宋体" w:cs="宋体"/>
                <w:b w:val="0"/>
                <w:bCs w:val="0"/>
                <w:color w:val="auto"/>
                <w:sz w:val="21"/>
                <w:szCs w:val="21"/>
                <w:highlight w:val="none"/>
              </w:rPr>
              <w:t>自动进样模式时样本量≤180uL，开盖模式时</w:t>
            </w:r>
            <w:r>
              <w:rPr>
                <w:rFonts w:hint="eastAsia" w:ascii="宋体" w:hAnsi="宋体" w:eastAsia="宋体" w:cs="宋体"/>
                <w:b w:val="0"/>
                <w:bCs w:val="0"/>
                <w:color w:val="auto"/>
                <w:sz w:val="21"/>
                <w:szCs w:val="21"/>
                <w:highlight w:val="none"/>
                <w:lang w:val="en-US" w:eastAsia="zh-CN"/>
              </w:rPr>
              <w:t>样本</w:t>
            </w:r>
            <w:r>
              <w:rPr>
                <w:rFonts w:hint="eastAsia" w:ascii="宋体" w:hAnsi="宋体" w:eastAsia="宋体" w:cs="宋体"/>
                <w:b w:val="0"/>
                <w:bCs w:val="0"/>
                <w:color w:val="auto"/>
                <w:sz w:val="21"/>
                <w:szCs w:val="21"/>
                <w:highlight w:val="none"/>
              </w:rPr>
              <w:t>量≤180uL</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末梢全血检测</w:t>
            </w:r>
            <w:r>
              <w:rPr>
                <w:rFonts w:hint="eastAsia" w:ascii="宋体" w:hAnsi="宋体" w:eastAsia="宋体" w:cs="宋体"/>
                <w:b w:val="0"/>
                <w:bCs w:val="0"/>
                <w:color w:val="auto"/>
                <w:sz w:val="21"/>
                <w:szCs w:val="21"/>
                <w:highlight w:val="none"/>
                <w:lang w:val="en-US" w:eastAsia="zh-CN"/>
              </w:rPr>
              <w:t>样本</w:t>
            </w:r>
            <w:r>
              <w:rPr>
                <w:rFonts w:hint="eastAsia" w:ascii="宋体" w:hAnsi="宋体" w:eastAsia="宋体" w:cs="宋体"/>
                <w:b w:val="0"/>
                <w:bCs w:val="0"/>
                <w:color w:val="auto"/>
                <w:sz w:val="21"/>
                <w:szCs w:val="21"/>
                <w:highlight w:val="none"/>
              </w:rPr>
              <w:t>量≤40μl。</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白细胞计数的校正：仪器检测白细胞分类计数同时，无需额外试剂就能检测有核红细胞，并能自动进行白细胞计数的校正，排除有核红细胞的干扰，降低复检率。</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sz w:val="21"/>
                <w:szCs w:val="21"/>
                <w:highlight w:val="none"/>
                <w:lang w:eastAsia="zh-CN"/>
              </w:rPr>
              <w:t>具有低值白细胞检测模式，能自动对低值白细胞进行准确计数，</w:t>
            </w:r>
            <w:r>
              <w:rPr>
                <w:rFonts w:hint="eastAsia" w:ascii="宋体" w:hAnsi="宋体" w:eastAsia="宋体" w:cs="宋体"/>
                <w:bCs/>
                <w:color w:val="auto"/>
                <w:kern w:val="2"/>
                <w:sz w:val="21"/>
                <w:szCs w:val="21"/>
                <w:highlight w:val="none"/>
                <w:lang w:val="en-US" w:eastAsia="zh-CN" w:bidi="ar-SA"/>
              </w:rPr>
              <w:t>重复性好，CV≤5%</w:t>
            </w:r>
            <w:r>
              <w:rPr>
                <w:rFonts w:hint="eastAsia" w:ascii="宋体" w:hAnsi="宋体" w:eastAsia="宋体" w:cs="宋体"/>
                <w:bCs/>
                <w:color w:val="auto"/>
                <w:sz w:val="21"/>
                <w:szCs w:val="21"/>
                <w:highlight w:val="none"/>
                <w:lang w:eastAsia="zh-CN"/>
              </w:rPr>
              <w:t>。</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kern w:val="2"/>
                <w:sz w:val="21"/>
                <w:szCs w:val="21"/>
                <w:highlight w:val="none"/>
                <w:lang w:val="en-US" w:eastAsia="zh-CN" w:bidi="ar-SA"/>
              </w:rPr>
              <w:t>血小板检测：具有两种或以上的方法进行血小板计数，可排除干扰因素，如大血小板、微小血小板、微小细胞碎片等。具有独立的低值血小板检测通道，可对低值血小板进行准确计数，重复性好，CV≤5%。</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color w:val="auto"/>
                <w:kern w:val="2"/>
                <w:sz w:val="21"/>
                <w:szCs w:val="21"/>
                <w:highlight w:val="none"/>
                <w:lang w:val="en-US" w:eastAsia="zh-CN" w:bidi="ar-SA"/>
              </w:rPr>
              <w:t>具有幼稚细胞检测通道，异常细胞最低检测值≤2%，并可提供未成熟粒细胞的绝对值和百分比可报告参数。</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4900" w:type="dxa"/>
            <w:vAlign w:val="top"/>
          </w:tcPr>
          <w:p>
            <w:pPr>
              <w:pStyle w:val="2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★软件功能：专用配套正版软件与操作系统，中文报告及数据处理系统，自动记录检测结果，系统可与医院LIS系统对接，具有数据导出功能</w:t>
            </w:r>
            <w:r>
              <w:rPr>
                <w:rFonts w:hint="eastAsia" w:ascii="宋体" w:hAnsi="宋体" w:cs="宋体"/>
                <w:bCs/>
                <w:color w:val="auto"/>
                <w:spacing w:val="0"/>
                <w:kern w:val="2"/>
                <w:sz w:val="21"/>
                <w:szCs w:val="21"/>
                <w:highlight w:val="none"/>
                <w:lang w:val="en-US" w:eastAsia="zh-CN" w:bidi="ar-SA"/>
              </w:rPr>
              <w:t>，</w:t>
            </w:r>
            <w:r>
              <w:rPr>
                <w:rFonts w:hint="eastAsia" w:ascii="宋体" w:hAnsi="宋体" w:eastAsia="宋体" w:cs="宋体"/>
                <w:bCs/>
                <w:color w:val="auto"/>
                <w:spacing w:val="0"/>
                <w:kern w:val="2"/>
                <w:sz w:val="21"/>
                <w:szCs w:val="21"/>
                <w:highlight w:val="none"/>
                <w:lang w:val="en-US" w:eastAsia="zh-CN" w:bidi="ar-SA"/>
              </w:rPr>
              <w:t>软件终身维护升级，所需费用包含在响应报价中。</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rPr>
              <w:t>有配套有证的高、中、低3个水平血液质控物。同一管血液质控品可以覆盖全部报告项目进行质控</w:t>
            </w:r>
            <w:r>
              <w:rPr>
                <w:rFonts w:hint="eastAsia" w:ascii="宋体" w:hAnsi="宋体" w:eastAsia="宋体" w:cs="宋体"/>
                <w:color w:val="auto"/>
                <w:sz w:val="21"/>
                <w:szCs w:val="21"/>
                <w:highlight w:val="none"/>
                <w:lang w:eastAsia="zh-CN"/>
              </w:rPr>
              <w:t>（包括网织红细胞等）</w:t>
            </w:r>
            <w:r>
              <w:rPr>
                <w:rFonts w:hint="eastAsia" w:ascii="宋体" w:hAnsi="宋体" w:eastAsia="宋体" w:cs="宋体"/>
                <w:color w:val="auto"/>
                <w:sz w:val="21"/>
                <w:szCs w:val="21"/>
                <w:highlight w:val="none"/>
              </w:rPr>
              <w:t>，满足三级医院等级评审和ISO15189医学实验室认可对</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管理的相关要求。</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rPr>
              <w:t>提供有溯源性的有证血液校准物，每半年按</w:t>
            </w:r>
            <w:r>
              <w:rPr>
                <w:rFonts w:hint="eastAsia" w:ascii="宋体" w:hAnsi="宋体" w:cs="宋体"/>
                <w:color w:val="auto"/>
                <w:sz w:val="21"/>
                <w:szCs w:val="21"/>
                <w:highlight w:val="none"/>
                <w:lang w:val="en-US" w:eastAsia="zh-CN"/>
              </w:rPr>
              <w:t>实验室管理要求</w:t>
            </w:r>
            <w:r>
              <w:rPr>
                <w:rFonts w:hint="eastAsia" w:ascii="宋体" w:hAnsi="宋体" w:eastAsia="宋体" w:cs="宋体"/>
                <w:color w:val="auto"/>
                <w:sz w:val="21"/>
                <w:szCs w:val="21"/>
                <w:highlight w:val="none"/>
              </w:rPr>
              <w:t>对</w:t>
            </w:r>
            <w:r>
              <w:rPr>
                <w:rFonts w:hint="eastAsia" w:ascii="宋体" w:hAnsi="宋体"/>
                <w:color w:val="auto"/>
                <w:szCs w:val="21"/>
                <w:highlight w:val="none"/>
              </w:rPr>
              <w:t>全自动</w:t>
            </w:r>
            <w:r>
              <w:rPr>
                <w:rFonts w:hint="eastAsia" w:ascii="宋体" w:hAnsi="宋体"/>
                <w:color w:val="auto"/>
                <w:szCs w:val="21"/>
                <w:highlight w:val="none"/>
                <w:lang w:val="en-US" w:eastAsia="zh-CN"/>
              </w:rPr>
              <w:t>血细胞</w:t>
            </w:r>
            <w:r>
              <w:rPr>
                <w:rFonts w:hint="eastAsia" w:ascii="宋体" w:hAnsi="宋体"/>
                <w:color w:val="auto"/>
                <w:szCs w:val="21"/>
                <w:highlight w:val="none"/>
              </w:rPr>
              <w:t>分析仪</w:t>
            </w:r>
            <w:r>
              <w:rPr>
                <w:rFonts w:hint="eastAsia" w:ascii="宋体" w:hAnsi="宋体" w:eastAsia="宋体" w:cs="宋体"/>
                <w:color w:val="auto"/>
                <w:sz w:val="21"/>
                <w:szCs w:val="21"/>
                <w:highlight w:val="none"/>
              </w:rPr>
              <w:t>进行校准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满足三级医院等级评审和ISO15189医学实验室认可对</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管理的相关要求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若因仪器性能不佳导致无法满足实验室质量要求时，应适当增加校准次数，保证仪器的正常使用</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pacing w:val="0"/>
                <w:kern w:val="2"/>
                <w:sz w:val="21"/>
                <w:szCs w:val="21"/>
                <w:highlight w:val="none"/>
                <w:lang w:val="en-US" w:eastAsia="zh-CN" w:bidi="ar-SA"/>
              </w:rPr>
              <w:t>所需费用包含在响应报价中。</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★性能验证：按实验室管理要求完成仪器启用前的性能验证</w:t>
            </w:r>
            <w:r>
              <w:rPr>
                <w:rFonts w:hint="eastAsia" w:ascii="宋体" w:hAnsi="宋体" w:cs="宋体"/>
                <w:color w:val="auto"/>
                <w:szCs w:val="21"/>
                <w:highlight w:val="none"/>
                <w:lang w:eastAsia="zh-CN"/>
              </w:rPr>
              <w:t>，</w:t>
            </w:r>
            <w:r>
              <w:rPr>
                <w:rFonts w:hint="eastAsia" w:ascii="宋体" w:hAnsi="宋体" w:eastAsia="宋体" w:cs="宋体"/>
                <w:bCs/>
                <w:color w:val="auto"/>
                <w:spacing w:val="0"/>
                <w:kern w:val="2"/>
                <w:sz w:val="21"/>
                <w:szCs w:val="21"/>
                <w:highlight w:val="none"/>
                <w:lang w:val="en-US" w:eastAsia="zh-CN" w:bidi="ar-SA"/>
              </w:rPr>
              <w:t>所需费用包含在响应报价中。</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4900" w:type="dxa"/>
          </w:tcPr>
          <w:p>
            <w:pPr>
              <w:numPr>
                <w:ilvl w:val="0"/>
                <w:numId w:val="0"/>
              </w:numPr>
              <w:spacing w:line="240" w:lineRule="auto"/>
              <w:jc w:val="both"/>
              <w:rPr>
                <w:rFonts w:hint="eastAsia"/>
                <w:color w:val="auto"/>
                <w:highlight w:val="none"/>
              </w:rPr>
            </w:pPr>
            <w:r>
              <w:rPr>
                <w:rFonts w:hint="eastAsia" w:ascii="宋体" w:hAnsi="宋体" w:eastAsia="宋体" w:cs="宋体"/>
                <w:bCs w:val="0"/>
                <w:color w:val="auto"/>
                <w:spacing w:val="0"/>
                <w:kern w:val="2"/>
                <w:sz w:val="21"/>
                <w:szCs w:val="21"/>
                <w:highlight w:val="none"/>
                <w:lang w:val="en-US" w:eastAsia="zh-CN" w:bidi="ar-SA"/>
              </w:rPr>
              <w:t>★试剂和耗材支持：</w:t>
            </w:r>
            <w:r>
              <w:rPr>
                <w:rFonts w:hint="eastAsia" w:ascii="宋体" w:hAnsi="宋体"/>
                <w:color w:val="auto"/>
                <w:szCs w:val="21"/>
                <w:highlight w:val="none"/>
              </w:rPr>
              <w:t>全自动</w:t>
            </w:r>
            <w:r>
              <w:rPr>
                <w:rFonts w:hint="eastAsia" w:ascii="宋体" w:hAnsi="宋体"/>
                <w:color w:val="auto"/>
                <w:szCs w:val="21"/>
                <w:highlight w:val="none"/>
                <w:lang w:val="en-US" w:eastAsia="zh-CN"/>
              </w:rPr>
              <w:t>血细胞</w:t>
            </w:r>
            <w:r>
              <w:rPr>
                <w:rFonts w:hint="eastAsia" w:ascii="宋体" w:hAnsi="宋体"/>
                <w:color w:val="auto"/>
                <w:szCs w:val="21"/>
                <w:highlight w:val="none"/>
              </w:rPr>
              <w:t>分析仪</w:t>
            </w:r>
            <w:r>
              <w:rPr>
                <w:rFonts w:hint="eastAsia" w:ascii="宋体" w:hAnsi="宋体" w:eastAsia="宋体" w:cs="宋体"/>
                <w:color w:val="auto"/>
                <w:sz w:val="21"/>
                <w:szCs w:val="21"/>
                <w:highlight w:val="none"/>
                <w:lang w:val="en-US" w:eastAsia="zh-CN"/>
              </w:rPr>
              <w:t>开展的检测项目</w:t>
            </w:r>
            <w:r>
              <w:rPr>
                <w:rFonts w:hint="eastAsia" w:ascii="宋体" w:hAnsi="宋体" w:eastAsia="宋体" w:cs="宋体"/>
                <w:bCs w:val="0"/>
                <w:color w:val="auto"/>
                <w:spacing w:val="0"/>
                <w:kern w:val="2"/>
                <w:sz w:val="21"/>
                <w:szCs w:val="21"/>
                <w:highlight w:val="none"/>
                <w:lang w:val="en-US" w:eastAsia="zh-CN" w:bidi="ar-SA"/>
              </w:rPr>
              <w:t>，须在《中山市非营利性医疗机构医疗服务价格》现行版本中有明确的物价收费编码，</w:t>
            </w:r>
            <w:r>
              <w:rPr>
                <w:rFonts w:hint="eastAsia" w:ascii="宋体" w:hAnsi="宋体" w:cs="宋体"/>
                <w:bCs w:val="0"/>
                <w:color w:val="auto"/>
                <w:spacing w:val="0"/>
                <w:kern w:val="2"/>
                <w:sz w:val="21"/>
                <w:szCs w:val="21"/>
                <w:highlight w:val="none"/>
                <w:lang w:val="en-US" w:eastAsia="zh-CN" w:bidi="ar-SA"/>
              </w:rPr>
              <w:t>包括但不限于以下项目：</w:t>
            </w:r>
            <w:r>
              <w:rPr>
                <w:rFonts w:hint="eastAsia" w:ascii="宋体" w:hAnsi="宋体" w:eastAsia="宋体" w:cs="宋体"/>
                <w:bCs w:val="0"/>
                <w:color w:val="auto"/>
                <w:spacing w:val="0"/>
                <w:kern w:val="2"/>
                <w:sz w:val="21"/>
                <w:szCs w:val="21"/>
                <w:highlight w:val="none"/>
                <w:lang w:val="en-US" w:eastAsia="zh-CN" w:bidi="ar-SA"/>
              </w:rPr>
              <w:t>血常规-五分类：250101015-2，18元/次；网织红细胞计数(Ret)：250101005-2，11元/项；超敏C反应蛋白测定：250301017，36元/项；血清淀粉样蛋白测定(SAA)：250301019，53元/项，</w:t>
            </w:r>
            <w:r>
              <w:rPr>
                <w:rFonts w:hint="eastAsia" w:ascii="宋体" w:hAnsi="宋体" w:cs="宋体"/>
                <w:bCs w:val="0"/>
                <w:color w:val="auto"/>
                <w:spacing w:val="0"/>
                <w:kern w:val="2"/>
                <w:sz w:val="21"/>
                <w:szCs w:val="21"/>
                <w:highlight w:val="none"/>
                <w:lang w:val="en-US" w:eastAsia="zh-CN" w:bidi="ar-SA"/>
              </w:rPr>
              <w:t>响应</w:t>
            </w:r>
            <w:r>
              <w:rPr>
                <w:rFonts w:hint="eastAsia" w:ascii="宋体" w:hAnsi="宋体" w:eastAsia="宋体" w:cs="宋体"/>
                <w:bCs w:val="0"/>
                <w:color w:val="auto"/>
                <w:spacing w:val="0"/>
                <w:kern w:val="2"/>
                <w:sz w:val="21"/>
                <w:szCs w:val="21"/>
                <w:highlight w:val="none"/>
                <w:lang w:val="en-US" w:eastAsia="zh-CN" w:bidi="ar-SA"/>
              </w:rPr>
              <w:t>供应商须完整提供仪器设备所需要购买的试剂、消耗性耗材（包括但不限于专用采样管、质控品、定标液、标准品、校准品、清洗液、缓冲液、吸嘴、反应杯或反应板等）、易耗品（包括但不限于加样针、光源、检测池、管路等）等清单，清单内容包括但不限于种类、规格型号、价格等（见《试剂耗材询价情况一览表》），并依据试剂、消耗性耗材的使用量和价格计算出</w:t>
            </w:r>
            <w:r>
              <w:rPr>
                <w:rFonts w:hint="eastAsia" w:ascii="宋体" w:hAnsi="宋体" w:cs="宋体"/>
                <w:bCs w:val="0"/>
                <w:color w:val="auto"/>
                <w:spacing w:val="0"/>
                <w:kern w:val="2"/>
                <w:sz w:val="21"/>
                <w:szCs w:val="21"/>
                <w:highlight w:val="none"/>
                <w:lang w:val="en-US" w:eastAsia="zh-CN" w:bidi="ar-SA"/>
              </w:rPr>
              <w:t>每个项目的</w:t>
            </w:r>
            <w:r>
              <w:rPr>
                <w:rFonts w:hint="eastAsia" w:ascii="宋体" w:hAnsi="宋体" w:eastAsia="宋体" w:cs="宋体"/>
                <w:bCs w:val="0"/>
                <w:color w:val="auto"/>
                <w:spacing w:val="0"/>
                <w:kern w:val="2"/>
                <w:sz w:val="21"/>
                <w:szCs w:val="21"/>
                <w:highlight w:val="none"/>
                <w:lang w:val="en-US" w:eastAsia="zh-CN" w:bidi="ar-SA"/>
              </w:rPr>
              <w:t>每测试单价。响应供应商须对报价真实性和所提供试剂耗材清单完整性负责，</w:t>
            </w:r>
            <w:r>
              <w:rPr>
                <w:rFonts w:hint="default" w:ascii="宋体" w:hAnsi="宋体" w:eastAsia="宋体" w:cs="宋体"/>
                <w:bCs w:val="0"/>
                <w:color w:val="auto"/>
                <w:spacing w:val="0"/>
                <w:kern w:val="2"/>
                <w:sz w:val="21"/>
                <w:szCs w:val="21"/>
                <w:highlight w:val="none"/>
                <w:lang w:val="en-US" w:eastAsia="zh-CN" w:bidi="ar-SA"/>
              </w:rPr>
              <w:t>不同规格的试剂盒单人份报价必须一致</w:t>
            </w:r>
            <w:r>
              <w:rPr>
                <w:rFonts w:hint="eastAsia" w:ascii="宋体" w:hAnsi="宋体" w:eastAsia="宋体" w:cs="宋体"/>
                <w:bCs w:val="0"/>
                <w:color w:val="auto"/>
                <w:spacing w:val="0"/>
                <w:kern w:val="2"/>
                <w:sz w:val="21"/>
                <w:szCs w:val="21"/>
                <w:highlight w:val="none"/>
                <w:lang w:val="en-US" w:eastAsia="zh-CN" w:bidi="ar-SA"/>
              </w:rPr>
              <w:t>。</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4"/>
                <w:szCs w:val="24"/>
                <w:highlight w:val="none"/>
                <w:vertAlign w:val="baseline"/>
                <w:lang w:val="en-US" w:eastAsia="zh-CN"/>
              </w:rPr>
            </w:pPr>
            <w:r>
              <w:rPr>
                <w:rFonts w:hint="eastAsia"/>
                <w:color w:val="auto"/>
                <w:sz w:val="21"/>
                <w:highlight w:val="none"/>
              </w:rPr>
              <w:t>全自动</w:t>
            </w:r>
            <w:r>
              <w:rPr>
                <w:rFonts w:hint="eastAsia"/>
                <w:color w:val="auto"/>
                <w:sz w:val="21"/>
                <w:highlight w:val="none"/>
                <w:lang w:val="en-US" w:eastAsia="zh-CN"/>
              </w:rPr>
              <w:t>血细胞</w:t>
            </w:r>
            <w:r>
              <w:rPr>
                <w:rFonts w:hint="eastAsia"/>
                <w:color w:val="auto"/>
                <w:sz w:val="21"/>
                <w:highlight w:val="none"/>
              </w:rPr>
              <w:t>分析仪</w:t>
            </w:r>
            <w:r>
              <w:rPr>
                <w:rFonts w:hint="eastAsia"/>
                <w:color w:val="auto"/>
                <w:sz w:val="21"/>
                <w:highlight w:val="none"/>
                <w:lang w:val="en-US" w:eastAsia="zh-CN"/>
              </w:rPr>
              <w:t>开展的检测项目</w:t>
            </w:r>
            <w:r>
              <w:rPr>
                <w:color w:val="auto"/>
                <w:sz w:val="21"/>
                <w:highlight w:val="none"/>
              </w:rPr>
              <w:t>每人次整体成本</w:t>
            </w:r>
            <w:r>
              <w:rPr>
                <w:rFonts w:hint="eastAsia"/>
                <w:color w:val="auto"/>
                <w:sz w:val="21"/>
                <w:highlight w:val="none"/>
                <w:lang w:eastAsia="zh-CN"/>
              </w:rPr>
              <w:t>（</w:t>
            </w:r>
            <w:r>
              <w:rPr>
                <w:color w:val="auto"/>
                <w:sz w:val="21"/>
                <w:highlight w:val="none"/>
              </w:rPr>
              <w:t>含</w:t>
            </w:r>
            <w:r>
              <w:rPr>
                <w:rFonts w:hint="eastAsia"/>
                <w:color w:val="auto"/>
                <w:sz w:val="21"/>
                <w:highlight w:val="none"/>
                <w:lang w:val="en-US" w:eastAsia="zh-CN"/>
              </w:rPr>
              <w:t>试剂和</w:t>
            </w:r>
            <w:r>
              <w:rPr>
                <w:color w:val="auto"/>
                <w:sz w:val="21"/>
                <w:highlight w:val="none"/>
              </w:rPr>
              <w:t>消耗性耗材</w:t>
            </w:r>
            <w:r>
              <w:rPr>
                <w:rFonts w:hint="eastAsia"/>
                <w:color w:val="auto"/>
                <w:sz w:val="21"/>
                <w:highlight w:val="none"/>
                <w:lang w:eastAsia="zh-CN"/>
              </w:rPr>
              <w:t>）</w:t>
            </w:r>
            <w:r>
              <w:rPr>
                <w:color w:val="auto"/>
                <w:sz w:val="21"/>
                <w:highlight w:val="none"/>
              </w:rPr>
              <w:t>不得</w:t>
            </w:r>
            <w:r>
              <w:rPr>
                <w:rFonts w:hint="eastAsia"/>
                <w:color w:val="auto"/>
                <w:sz w:val="21"/>
                <w:highlight w:val="none"/>
                <w:lang w:val="en-US" w:eastAsia="zh-CN"/>
              </w:rPr>
              <w:t>高于《中山市非营利性医疗机构医疗服务价格》现行版本中收费标准。</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4"/>
                <w:szCs w:val="24"/>
                <w:highlight w:val="none"/>
                <w:vertAlign w:val="baseline"/>
                <w:lang w:val="en-US" w:eastAsia="zh-CN"/>
              </w:rPr>
            </w:pPr>
            <w:r>
              <w:rPr>
                <w:rFonts w:hint="eastAsia"/>
                <w:color w:val="auto"/>
                <w:highlight w:val="none"/>
              </w:rPr>
              <w:t>★</w:t>
            </w:r>
            <w:r>
              <w:rPr>
                <w:rFonts w:hint="eastAsia" w:ascii="宋体" w:hAnsi="宋体" w:eastAsia="宋体" w:cs="宋体"/>
                <w:color w:val="auto"/>
                <w:kern w:val="2"/>
                <w:sz w:val="21"/>
                <w:szCs w:val="21"/>
                <w:highlight w:val="none"/>
                <w:lang w:val="en-US" w:eastAsia="zh-CN" w:bidi="ar-SA"/>
              </w:rPr>
              <w:t>基于本设备开展的项目所需的试剂耗材须在广东省第三方药品电子交易平台上且不高于平台限价。</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4900" w:type="dxa"/>
            <w:vAlign w:val="top"/>
          </w:tcPr>
          <w:p>
            <w:pPr>
              <w:pStyle w:val="16"/>
              <w:keepNext w:val="0"/>
              <w:keepLines w:val="0"/>
              <w:pageBreakBefore w:val="0"/>
              <w:widowControl/>
              <w:tabs>
                <w:tab w:val="left" w:pos="993"/>
              </w:tabs>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其他要求：</w:t>
            </w:r>
          </w:p>
          <w:p>
            <w:pPr>
              <w:pStyle w:val="16"/>
              <w:keepNext w:val="0"/>
              <w:keepLines w:val="0"/>
              <w:pageBreakBefore w:val="0"/>
              <w:widowControl/>
              <w:tabs>
                <w:tab w:val="left" w:pos="993"/>
              </w:tabs>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★（1）提供标准R232数据接口，</w:t>
            </w:r>
            <w:r>
              <w:rPr>
                <w:rFonts w:hint="eastAsia" w:ascii="宋体" w:hAnsi="宋体" w:eastAsia="宋体" w:cs="宋体"/>
                <w:b w:val="0"/>
                <w:bCs w:val="0"/>
                <w:color w:val="auto"/>
                <w:kern w:val="2"/>
                <w:sz w:val="21"/>
                <w:szCs w:val="21"/>
                <w:highlight w:val="none"/>
                <w:lang w:val="en-US" w:eastAsia="zh-CN" w:bidi="ar-SA"/>
              </w:rPr>
              <w:t>仪器配置样品条形识别装置，</w:t>
            </w:r>
            <w:r>
              <w:rPr>
                <w:rFonts w:hint="eastAsia" w:ascii="宋体" w:hAnsi="宋体" w:eastAsia="宋体" w:cs="宋体"/>
                <w:color w:val="auto"/>
                <w:kern w:val="2"/>
                <w:sz w:val="21"/>
                <w:szCs w:val="21"/>
                <w:highlight w:val="none"/>
                <w:lang w:val="en-US" w:eastAsia="zh-CN" w:bidi="ar-SA"/>
              </w:rPr>
              <w:t>配置匹配该设备使用的最新版本分析软件，为独立的中间体软件，</w:t>
            </w:r>
            <w:r>
              <w:rPr>
                <w:rFonts w:hint="eastAsia" w:ascii="宋体" w:hAnsi="宋体" w:eastAsia="宋体" w:cs="宋体"/>
                <w:color w:val="auto"/>
                <w:sz w:val="21"/>
                <w:szCs w:val="21"/>
                <w:highlight w:val="none"/>
                <w:lang w:val="en-US" w:eastAsia="zh-CN"/>
              </w:rPr>
              <w:t>接口软件</w:t>
            </w:r>
            <w:r>
              <w:rPr>
                <w:rFonts w:hint="eastAsia" w:ascii="宋体" w:hAnsi="宋体" w:eastAsia="宋体" w:cs="宋体"/>
                <w:b w:val="0"/>
                <w:bCs w:val="0"/>
                <w:color w:val="auto"/>
                <w:kern w:val="2"/>
                <w:sz w:val="21"/>
                <w:szCs w:val="21"/>
                <w:highlight w:val="none"/>
                <w:lang w:val="en-US" w:eastAsia="zh-CN" w:bidi="ar-SA"/>
              </w:rPr>
              <w:t>可与实验室信息管理系统LIS 系统实现双向通信，</w:t>
            </w:r>
            <w:r>
              <w:rPr>
                <w:rFonts w:hint="eastAsia" w:ascii="宋体" w:hAnsi="宋体" w:eastAsia="宋体" w:cs="宋体"/>
                <w:color w:val="auto"/>
                <w:kern w:val="2"/>
                <w:sz w:val="21"/>
                <w:szCs w:val="21"/>
                <w:highlight w:val="none"/>
                <w:lang w:val="en-US" w:eastAsia="zh-CN" w:bidi="ar-SA"/>
              </w:rPr>
              <w:t>按实验室要求与医院现有LIS 系统连接，</w:t>
            </w:r>
            <w:r>
              <w:rPr>
                <w:rFonts w:hint="eastAsia" w:ascii="宋体" w:hAnsi="宋体" w:cs="宋体"/>
                <w:color w:val="auto"/>
                <w:szCs w:val="21"/>
                <w:highlight w:val="none"/>
                <w:lang w:val="en-US" w:eastAsia="zh-CN"/>
              </w:rPr>
              <w:t>所需</w:t>
            </w:r>
            <w:r>
              <w:rPr>
                <w:rFonts w:hint="eastAsia" w:ascii="宋体" w:hAnsi="宋体" w:cs="宋体"/>
                <w:color w:val="auto"/>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。若因仪器接入而需对医院现有LIS系统进行改造或升级，</w:t>
            </w:r>
            <w:r>
              <w:rPr>
                <w:rFonts w:hint="eastAsia" w:ascii="宋体" w:hAnsi="宋体" w:cs="宋体"/>
                <w:color w:val="auto"/>
                <w:szCs w:val="21"/>
                <w:highlight w:val="none"/>
                <w:lang w:val="en-US" w:eastAsia="zh-CN"/>
              </w:rPr>
              <w:t>所需</w:t>
            </w:r>
            <w:r>
              <w:rPr>
                <w:rFonts w:hint="eastAsia" w:ascii="宋体" w:hAnsi="宋体" w:cs="宋体"/>
                <w:color w:val="auto"/>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r>
              <w:rPr>
                <w:rFonts w:hint="eastAsia" w:ascii="宋体" w:hAnsi="宋体" w:cs="Arial"/>
                <w:b/>
                <w:color w:val="auto"/>
                <w:highlight w:val="none"/>
              </w:rPr>
              <w:t>（</w:t>
            </w:r>
            <w:r>
              <w:rPr>
                <w:rFonts w:hint="eastAsia" w:ascii="宋体" w:hAnsi="宋体"/>
                <w:b/>
                <w:color w:val="auto"/>
                <w:highlight w:val="none"/>
              </w:rPr>
              <w:t>提供加盖响应供应商公章的承诺函</w:t>
            </w:r>
            <w:r>
              <w:rPr>
                <w:rFonts w:hint="eastAsia" w:ascii="宋体" w:hAnsi="宋体" w:cs="Arial"/>
                <w:b/>
                <w:color w:val="auto"/>
                <w:highlight w:val="none"/>
              </w:rPr>
              <w:t>）</w:t>
            </w:r>
          </w:p>
          <w:p>
            <w:pPr>
              <w:pStyle w:val="16"/>
              <w:keepNext w:val="0"/>
              <w:keepLines w:val="0"/>
              <w:pageBreakBefore w:val="0"/>
              <w:widowControl/>
              <w:tabs>
                <w:tab w:val="left" w:pos="993"/>
              </w:tabs>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★（2）电源：提供不间断适配电源 ，AC 220V（波动≤10%），</w:t>
            </w:r>
            <w:r>
              <w:rPr>
                <w:rFonts w:hint="eastAsia" w:ascii="宋体" w:hAnsi="宋体" w:cs="宋体"/>
                <w:color w:val="auto"/>
                <w:szCs w:val="21"/>
                <w:highlight w:val="none"/>
                <w:lang w:val="en-US" w:eastAsia="zh-CN"/>
              </w:rPr>
              <w:t>所需</w:t>
            </w:r>
            <w:r>
              <w:rPr>
                <w:rFonts w:hint="eastAsia" w:ascii="宋体" w:hAnsi="宋体" w:cs="宋体"/>
                <w:color w:val="auto"/>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pStyle w:val="23"/>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460" w:firstLineChars="200"/>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）其它参数至少满足仪器操作说明书要求。</w:t>
            </w: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bookmarkStart w:id="0" w:name="_GoBack"/>
            <w:bookmarkEnd w:id="0"/>
          </w:p>
        </w:tc>
        <w:tc>
          <w:tcPr>
            <w:tcW w:w="4900" w:type="dxa"/>
          </w:tcPr>
          <w:p>
            <w:pPr>
              <w:numPr>
                <w:ilvl w:val="0"/>
                <w:numId w:val="0"/>
              </w:numPr>
              <w:spacing w:line="24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配置要求：</w:t>
            </w:r>
          </w:p>
          <w:tbl>
            <w:tblPr>
              <w:tblStyle w:val="12"/>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48"/>
              <w:gridCol w:w="2143"/>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48"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43"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601"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1348" w:type="dxa"/>
                  <w:vAlign w:val="center"/>
                </w:tcPr>
                <w:p>
                  <w:pPr>
                    <w:spacing w:line="240" w:lineRule="auto"/>
                    <w:jc w:val="center"/>
                    <w:rPr>
                      <w:rFonts w:hint="eastAsia" w:ascii="宋体" w:hAnsi="宋体" w:eastAsia="宋体" w:cs="宋体"/>
                      <w:color w:val="auto"/>
                      <w:szCs w:val="21"/>
                      <w:highlight w:val="none"/>
                    </w:rPr>
                  </w:pPr>
                  <w:r>
                    <w:rPr>
                      <w:rFonts w:hint="eastAsia"/>
                      <w:color w:val="auto"/>
                      <w:sz w:val="21"/>
                      <w:highlight w:val="none"/>
                    </w:rPr>
                    <w:t>全自动</w:t>
                  </w:r>
                  <w:r>
                    <w:rPr>
                      <w:rFonts w:hint="eastAsia"/>
                      <w:color w:val="auto"/>
                      <w:sz w:val="21"/>
                      <w:highlight w:val="none"/>
                      <w:lang w:val="en-US" w:eastAsia="zh-CN"/>
                    </w:rPr>
                    <w:t>血细胞</w:t>
                  </w:r>
                  <w:r>
                    <w:rPr>
                      <w:rFonts w:hint="eastAsia"/>
                      <w:color w:val="auto"/>
                      <w:sz w:val="21"/>
                      <w:highlight w:val="none"/>
                    </w:rPr>
                    <w:t>分析仪</w:t>
                  </w:r>
                </w:p>
              </w:tc>
              <w:tc>
                <w:tcPr>
                  <w:tcW w:w="2143"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eastAsia="zh-CN"/>
                    </w:rPr>
                    <w:t>符合上述技术参数要求</w:t>
                  </w:r>
                </w:p>
              </w:tc>
              <w:tc>
                <w:tcPr>
                  <w:tcW w:w="601"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1348"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软件系统</w:t>
                  </w:r>
                </w:p>
              </w:tc>
              <w:tc>
                <w:tcPr>
                  <w:tcW w:w="214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符合上述技术参数要求</w:t>
                  </w:r>
                </w:p>
              </w:tc>
              <w:tc>
                <w:tcPr>
                  <w:tcW w:w="601"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1348"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lang w:val="en-US" w:eastAsia="zh-CN"/>
                    </w:rPr>
                    <w:t>样本架</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符合</w:t>
                  </w:r>
                  <w:r>
                    <w:rPr>
                      <w:rFonts w:hint="eastAsia" w:ascii="宋体" w:hAnsi="宋体" w:cs="宋体"/>
                      <w:b w:val="0"/>
                      <w:bCs w:val="0"/>
                      <w:color w:val="auto"/>
                      <w:kern w:val="0"/>
                      <w:sz w:val="21"/>
                      <w:szCs w:val="21"/>
                      <w:highlight w:val="none"/>
                      <w:lang w:val="en-US" w:eastAsia="zh-CN"/>
                    </w:rPr>
                    <w:t>实际</w:t>
                  </w:r>
                  <w:r>
                    <w:rPr>
                      <w:rFonts w:hint="eastAsia" w:ascii="宋体" w:hAnsi="宋体" w:cs="宋体"/>
                      <w:b w:val="0"/>
                      <w:bCs w:val="0"/>
                      <w:color w:val="auto"/>
                      <w:kern w:val="0"/>
                      <w:sz w:val="21"/>
                      <w:szCs w:val="21"/>
                      <w:highlight w:val="none"/>
                      <w:lang w:eastAsia="zh-CN"/>
                    </w:rPr>
                    <w:t>工作</w:t>
                  </w:r>
                  <w:r>
                    <w:rPr>
                      <w:rFonts w:hint="eastAsia" w:ascii="宋体" w:hAnsi="宋体" w:eastAsia="宋体" w:cs="宋体"/>
                      <w:b w:val="0"/>
                      <w:bCs w:val="0"/>
                      <w:color w:val="auto"/>
                      <w:kern w:val="0"/>
                      <w:sz w:val="21"/>
                      <w:szCs w:val="21"/>
                      <w:highlight w:val="none"/>
                      <w:lang w:eastAsia="zh-CN"/>
                    </w:rPr>
                    <w:t>需求</w:t>
                  </w:r>
                </w:p>
              </w:tc>
              <w:tc>
                <w:tcPr>
                  <w:tcW w:w="601" w:type="dxa"/>
                  <w:vAlign w:val="center"/>
                </w:tcPr>
                <w:p>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若干个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p>
              </w:tc>
              <w:tc>
                <w:tcPr>
                  <w:tcW w:w="1348" w:type="dxa"/>
                  <w:vAlign w:val="center"/>
                </w:tcPr>
                <w:p>
                  <w:pPr>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工作站</w:t>
                  </w:r>
                </w:p>
              </w:tc>
              <w:tc>
                <w:tcPr>
                  <w:tcW w:w="21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21"/>
                      <w:szCs w:val="21"/>
                      <w:highlight w:val="none"/>
                      <w:lang w:val="en-US" w:eastAsia="zh-CN" w:bidi="ar-SA"/>
                    </w:rPr>
                  </w:pPr>
                  <w:r>
                    <w:rPr>
                      <w:rFonts w:hint="eastAsia"/>
                      <w:color w:val="auto"/>
                      <w:highlight w:val="none"/>
                      <w:lang w:val="en-US" w:eastAsia="zh-CN"/>
                    </w:rPr>
                    <w:t>提供与该仪器匹配使用的工作站（含显示器、鼠标、键盘等）：CPU：≥i5-10500；内存：≥16G；硬盘≥512G固态硬盘+1TB硬盘；Windows 10操作系统，显示器：≥24英寸</w:t>
                  </w:r>
                </w:p>
              </w:tc>
              <w:tc>
                <w:tcPr>
                  <w:tcW w:w="601" w:type="dxa"/>
                  <w:vAlign w:val="center"/>
                </w:tcPr>
                <w:p>
                  <w:pPr>
                    <w:spacing w:line="240" w:lineRule="auto"/>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p>
              </w:tc>
              <w:tc>
                <w:tcPr>
                  <w:tcW w:w="1348"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不间断适配电源</w:t>
                  </w:r>
                </w:p>
              </w:tc>
              <w:tc>
                <w:tcPr>
                  <w:tcW w:w="214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参数如上，符合仪器安装</w:t>
                  </w:r>
                  <w:r>
                    <w:rPr>
                      <w:rFonts w:hint="eastAsia" w:ascii="宋体" w:hAnsi="宋体" w:cs="宋体"/>
                      <w:b w:val="0"/>
                      <w:bCs w:val="0"/>
                      <w:color w:val="auto"/>
                      <w:kern w:val="0"/>
                      <w:sz w:val="21"/>
                      <w:szCs w:val="21"/>
                      <w:highlight w:val="none"/>
                      <w:lang w:val="en-US" w:eastAsia="zh-CN"/>
                    </w:rPr>
                    <w:t>使用</w:t>
                  </w:r>
                  <w:r>
                    <w:rPr>
                      <w:rFonts w:hint="eastAsia" w:ascii="宋体" w:hAnsi="宋体" w:eastAsia="宋体" w:cs="宋体"/>
                      <w:b w:val="0"/>
                      <w:bCs w:val="0"/>
                      <w:color w:val="auto"/>
                      <w:kern w:val="0"/>
                      <w:sz w:val="21"/>
                      <w:szCs w:val="21"/>
                      <w:highlight w:val="none"/>
                      <w:lang w:eastAsia="zh-CN"/>
                    </w:rPr>
                    <w:t>需求</w:t>
                  </w:r>
                </w:p>
              </w:tc>
              <w:tc>
                <w:tcPr>
                  <w:tcW w:w="60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p>
              </w:tc>
              <w:tc>
                <w:tcPr>
                  <w:tcW w:w="1348" w:type="dxa"/>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文件</w:t>
                  </w:r>
                </w:p>
              </w:tc>
              <w:tc>
                <w:tcPr>
                  <w:tcW w:w="2143"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提供纸质版</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电子版仪器标</w:t>
                  </w:r>
                  <w:r>
                    <w:rPr>
                      <w:rFonts w:hint="eastAsia" w:ascii="宋体" w:hAnsi="宋体" w:eastAsia="宋体" w:cs="宋体"/>
                      <w:color w:val="auto"/>
                      <w:sz w:val="21"/>
                      <w:szCs w:val="21"/>
                      <w:highlight w:val="none"/>
                      <w:lang w:eastAsia="zh-CN"/>
                    </w:rPr>
                    <w:t>准</w:t>
                  </w:r>
                  <w:r>
                    <w:rPr>
                      <w:rFonts w:hint="eastAsia" w:ascii="宋体" w:hAnsi="宋体" w:eastAsia="宋体" w:cs="宋体"/>
                      <w:color w:val="auto"/>
                      <w:sz w:val="21"/>
                      <w:szCs w:val="21"/>
                      <w:highlight w:val="none"/>
                    </w:rPr>
                    <w:t>操作程序文件（SOP）</w:t>
                  </w:r>
                  <w:r>
                    <w:rPr>
                      <w:rFonts w:hint="eastAsia" w:ascii="宋体" w:hAnsi="宋体" w:eastAsia="宋体" w:cs="宋体"/>
                      <w:color w:val="auto"/>
                      <w:sz w:val="21"/>
                      <w:szCs w:val="21"/>
                      <w:highlight w:val="none"/>
                      <w:lang w:eastAsia="zh-CN"/>
                    </w:rPr>
                    <w:t>、操作卡等</w:t>
                  </w:r>
                </w:p>
              </w:tc>
              <w:tc>
                <w:tcPr>
                  <w:tcW w:w="601"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81" w:type="dxa"/>
                  <w:vAlign w:val="center"/>
                </w:tcPr>
                <w:p>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348" w:type="dxa"/>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适配电源线</w:t>
                  </w:r>
                </w:p>
              </w:tc>
              <w:tc>
                <w:tcPr>
                  <w:tcW w:w="2143"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符合仪器安装需求</w:t>
                  </w:r>
                </w:p>
              </w:tc>
              <w:tc>
                <w:tcPr>
                  <w:tcW w:w="601"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若干</w:t>
                  </w:r>
                  <w:r>
                    <w:rPr>
                      <w:rFonts w:hint="eastAsia" w:ascii="宋体" w:hAnsi="宋体" w:eastAsia="宋体" w:cs="宋体"/>
                      <w:b w:val="0"/>
                      <w:bCs w:val="0"/>
                      <w:color w:val="auto"/>
                      <w:kern w:val="0"/>
                      <w:sz w:val="21"/>
                      <w:szCs w:val="21"/>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81" w:type="dxa"/>
                  <w:vAlign w:val="center"/>
                </w:tcPr>
                <w:p>
                  <w:pPr>
                    <w:spacing w:line="240" w:lineRule="auto"/>
                    <w:jc w:val="center"/>
                    <w:rPr>
                      <w:rFonts w:hint="eastAsia" w:ascii="宋体" w:hAnsi="宋体" w:eastAsia="宋体" w:cs="宋体"/>
                      <w:color w:val="auto"/>
                      <w:szCs w:val="21"/>
                      <w:highlight w:val="none"/>
                      <w:lang w:val="en-US" w:eastAsia="zh-CN"/>
                    </w:rPr>
                  </w:pPr>
                </w:p>
              </w:tc>
              <w:tc>
                <w:tcPr>
                  <w:tcW w:w="1348" w:type="dxa"/>
                  <w:vAlign w:val="center"/>
                </w:tcPr>
                <w:p>
                  <w:pPr>
                    <w:spacing w:line="24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使用说明书</w:t>
                  </w:r>
                </w:p>
              </w:tc>
              <w:tc>
                <w:tcPr>
                  <w:tcW w:w="2143" w:type="dxa"/>
                  <w:vAlign w:val="center"/>
                </w:tcPr>
                <w:p>
                  <w:pPr>
                    <w:spacing w:line="24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符合仪器使用需求</w:t>
                  </w:r>
                </w:p>
              </w:tc>
              <w:tc>
                <w:tcPr>
                  <w:tcW w:w="601" w:type="dxa"/>
                  <w:vAlign w:val="center"/>
                </w:tcPr>
                <w:p>
                  <w:pPr>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1册</w:t>
                  </w:r>
                </w:p>
              </w:tc>
            </w:tr>
          </w:tbl>
          <w:p>
            <w:pPr>
              <w:pStyle w:val="11"/>
              <w:spacing w:line="240" w:lineRule="auto"/>
              <w:rPr>
                <w:rFonts w:hint="eastAsia" w:ascii="宋体" w:hAnsi="宋体" w:eastAsia="宋体" w:cs="宋体"/>
                <w:color w:val="auto"/>
                <w:highlight w:val="none"/>
                <w:lang w:val="en-US" w:eastAsia="zh-CN"/>
              </w:rPr>
            </w:pPr>
          </w:p>
        </w:tc>
        <w:tc>
          <w:tcPr>
            <w:tcW w:w="125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p>
        </w:tc>
      </w:tr>
    </w:tbl>
    <w:p>
      <w:pPr>
        <w:numPr>
          <w:ilvl w:val="0"/>
          <w:numId w:val="2"/>
        </w:num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商务要求：（请按用户需求里的技术要求及配置要求逐条响应）</w:t>
      </w:r>
    </w:p>
    <w:tbl>
      <w:tblPr>
        <w:tblStyle w:val="1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4337"/>
        <w:gridCol w:w="135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商务参数项目</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完全响应或正/负偏离</w:t>
            </w: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交货地点：采购人指定地点。</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交货期：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成交通知书</w:t>
            </w:r>
            <w:r>
              <w:rPr>
                <w:rFonts w:hint="eastAsia" w:ascii="宋体" w:hAnsi="宋体" w:eastAsia="宋体" w:cs="宋体"/>
                <w:color w:val="auto"/>
                <w:sz w:val="21"/>
                <w:szCs w:val="21"/>
                <w:highlight w:val="none"/>
              </w:rPr>
              <w:t>发出之日起30日内按</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确定的事项与采购人签订合同，签订合同后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日内完成设备的安装调试。</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须保证</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后所提供的设备为原装、全新合格的产品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产品交付时成交供应商应提供产品真实有效的生产日期，且生产日期距交付时间的时间差不超过</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eastAsia="zh-CN"/>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负责派技术人员到现场进行安装调试，直至验收合格，安装调试所需费用应包含在投标总报价内；同时提供培训服务，必须保证需求科室操作人员融会贯通，培训所需费用全部包含在总报价内。</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验收方式：按《小榄镇</w:t>
            </w:r>
            <w:r>
              <w:rPr>
                <w:rFonts w:hint="eastAsia" w:ascii="宋体" w:hAnsi="宋体" w:eastAsia="宋体" w:cs="宋体"/>
                <w:color w:val="auto"/>
                <w:sz w:val="21"/>
                <w:szCs w:val="21"/>
                <w:highlight w:val="none"/>
                <w:lang w:eastAsia="zh-CN"/>
              </w:rPr>
              <w:t>公立</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zh-CN"/>
              </w:rPr>
              <w:t>政府</w:t>
            </w:r>
            <w:r>
              <w:rPr>
                <w:rFonts w:hint="eastAsia" w:ascii="宋体" w:hAnsi="宋体" w:eastAsia="宋体" w:cs="宋体"/>
                <w:color w:val="auto"/>
                <w:sz w:val="21"/>
                <w:szCs w:val="21"/>
                <w:highlight w:val="none"/>
              </w:rPr>
              <w:t>采购和验收</w:t>
            </w:r>
            <w:r>
              <w:rPr>
                <w:rFonts w:hint="eastAsia" w:ascii="宋体" w:hAnsi="宋体" w:eastAsia="宋体" w:cs="宋体"/>
                <w:color w:val="auto"/>
                <w:sz w:val="21"/>
                <w:szCs w:val="21"/>
                <w:highlight w:val="none"/>
                <w:lang w:eastAsia="zh-CN"/>
              </w:rPr>
              <w:t>办法</w:t>
            </w:r>
            <w:r>
              <w:rPr>
                <w:rFonts w:hint="eastAsia" w:ascii="宋体" w:hAnsi="宋体" w:eastAsia="宋体" w:cs="宋体"/>
                <w:color w:val="auto"/>
                <w:sz w:val="21"/>
                <w:szCs w:val="21"/>
                <w:highlight w:val="none"/>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4337" w:type="dxa"/>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lang w:val="en-US" w:eastAsia="zh-CN"/>
              </w:rPr>
              <w:t>提供《承诺函》（格式自拟）</w:t>
            </w:r>
            <w:r>
              <w:rPr>
                <w:rFonts w:hint="eastAsia" w:ascii="宋体" w:hAnsi="宋体" w:eastAsia="宋体" w:cs="宋体"/>
                <w:color w:val="auto"/>
                <w:sz w:val="21"/>
                <w:szCs w:val="21"/>
                <w:highlight w:val="none"/>
              </w:rPr>
              <w:t>，该承诺函包括但不限于以下内容:</w:t>
            </w:r>
          </w:p>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后须在</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公告发布之日起五个工作日内提供设备制造厂商开具并盖章的合法有效的授权函原件（盖鲜章）、售后服务承诺函原件（盖鲜章）。</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产品交付时，成交供应商须</w:t>
            </w:r>
            <w:r>
              <w:rPr>
                <w:rFonts w:hint="eastAsia" w:ascii="宋体" w:hAnsi="宋体" w:eastAsia="宋体" w:cs="宋体"/>
                <w:color w:val="auto"/>
                <w:sz w:val="21"/>
                <w:szCs w:val="21"/>
                <w:highlight w:val="none"/>
              </w:rPr>
              <w:t>完成仪器</w:t>
            </w:r>
            <w:r>
              <w:rPr>
                <w:rFonts w:hint="eastAsia" w:ascii="宋体" w:hAnsi="宋体" w:eastAsia="宋体" w:cs="宋体"/>
                <w:color w:val="auto"/>
                <w:sz w:val="21"/>
                <w:szCs w:val="21"/>
                <w:highlight w:val="none"/>
                <w:lang w:val="en-US" w:eastAsia="zh-CN"/>
              </w:rPr>
              <w:t>装机调试和仪器</w:t>
            </w:r>
            <w:r>
              <w:rPr>
                <w:rFonts w:hint="eastAsia" w:ascii="宋体" w:hAnsi="宋体" w:eastAsia="宋体" w:cs="宋体"/>
                <w:color w:val="auto"/>
                <w:sz w:val="21"/>
                <w:szCs w:val="21"/>
                <w:highlight w:val="none"/>
              </w:rPr>
              <w:t>启用前的性能验证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仪器性能符合</w:t>
            </w:r>
            <w:r>
              <w:rPr>
                <w:rFonts w:hint="eastAsia" w:ascii="宋体" w:hAnsi="宋体" w:eastAsia="宋体" w:cs="宋体"/>
                <w:color w:val="auto"/>
                <w:sz w:val="21"/>
                <w:szCs w:val="21"/>
                <w:highlight w:val="none"/>
              </w:rPr>
              <w:t>相关行业标准和实验室管理要求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并出具仪器安装报告</w:t>
            </w:r>
            <w:r>
              <w:rPr>
                <w:rFonts w:hint="eastAsia" w:ascii="宋体" w:hAnsi="宋体" w:eastAsia="宋体" w:cs="宋体"/>
                <w:color w:val="auto"/>
                <w:sz w:val="21"/>
                <w:szCs w:val="21"/>
                <w:highlight w:val="none"/>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如因供应商原因出现明显漏项、缺项等直接或间接过失造成采购人损失的，采购人保留追究相应责任的权利。</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必须在中国境内有售后服务机构，并附有售后服务能力说明。</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须提供设备原厂质保（设备原厂质量保修范围和保修期）</w:t>
            </w:r>
            <w:r>
              <w:rPr>
                <w:rFonts w:hint="eastAsia" w:ascii="宋体" w:hAnsi="宋体" w:eastAsia="宋体" w:cs="宋体"/>
                <w:color w:val="auto"/>
                <w:sz w:val="21"/>
                <w:szCs w:val="21"/>
                <w:highlight w:val="yellow"/>
              </w:rPr>
              <w:t>至少为</w:t>
            </w:r>
            <w:r>
              <w:rPr>
                <w:rFonts w:hint="eastAsia" w:ascii="宋体" w:hAnsi="宋体" w:eastAsia="宋体" w:cs="宋体"/>
                <w:color w:val="auto"/>
                <w:sz w:val="21"/>
                <w:szCs w:val="21"/>
                <w:highlight w:val="yellow"/>
                <w:u w:val="single"/>
                <w:lang w:val="en-US" w:eastAsia="zh-CN"/>
              </w:rPr>
              <w:t>5</w:t>
            </w:r>
            <w:r>
              <w:rPr>
                <w:rFonts w:hint="eastAsia" w:ascii="宋体" w:hAnsi="宋体" w:eastAsia="宋体" w:cs="宋体"/>
                <w:color w:val="auto"/>
                <w:sz w:val="21"/>
                <w:szCs w:val="21"/>
                <w:highlight w:val="yellow"/>
              </w:rPr>
              <w:t>年。</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在售后期内，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在接到用户的维修通知，响应时间为半小时内，工程师到达现场时间为4小时内，排除故障时限为到达现场后8小时内。</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如果产品故障在检修12小时后仍无法排除，</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应在24小时内提供不低于故障产品规格型号档次的备用产品供采购人使用，直至故障产品修复。</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4337" w:type="dxa"/>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★本合同的每笔款项以人民币转账方式支付，合同设备到采购人指定地点交付并完成安装，验收合格后，</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单位凭：</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（2）验收调试合格报告（加盖采购人公章）；</w:t>
            </w:r>
          </w:p>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开具的正式发票（加盖发票专用章）。</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具体付款方式：本合同分三期支付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第一期：</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提供合同总金额20%的款项预收款收据，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支付该笔预付款；</w:t>
            </w:r>
            <w:r>
              <w:rPr>
                <w:rFonts w:hint="eastAsia" w:ascii="宋体" w:hAnsi="宋体" w:eastAsia="宋体" w:cs="宋体"/>
                <w:color w:val="auto"/>
                <w:sz w:val="21"/>
                <w:szCs w:val="21"/>
                <w:highlight w:val="none"/>
                <w:lang w:val="en-US" w:eastAsia="zh-CN"/>
              </w:rPr>
              <w:t>第二期：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按合同协议时间提供设备，并经协议规定的验收机构书面确认验收合格后，开具全额发票，采购人确认发票无误后一个月内支付合同总金额的75%；</w:t>
            </w:r>
            <w:r>
              <w:rPr>
                <w:rFonts w:hint="eastAsia" w:ascii="宋体" w:hAnsi="宋体" w:eastAsia="宋体" w:cs="宋体"/>
                <w:color w:val="auto"/>
                <w:sz w:val="21"/>
                <w:szCs w:val="21"/>
                <w:highlight w:val="none"/>
                <w:lang w:val="en-US" w:eastAsia="zh-CN"/>
              </w:rPr>
              <w:t>第三期：</w:t>
            </w:r>
            <w:r>
              <w:rPr>
                <w:rFonts w:hint="eastAsia" w:ascii="宋体" w:hAnsi="宋体" w:eastAsia="宋体" w:cs="宋体"/>
                <w:color w:val="auto"/>
                <w:sz w:val="21"/>
                <w:szCs w:val="21"/>
                <w:highlight w:val="none"/>
              </w:rPr>
              <w:t>合同总金额的5%在</w:t>
            </w:r>
            <w:r>
              <w:rPr>
                <w:rFonts w:hint="eastAsia" w:ascii="宋体" w:hAnsi="宋体" w:eastAsia="宋体" w:cs="宋体"/>
                <w:color w:val="auto"/>
                <w:sz w:val="21"/>
                <w:szCs w:val="21"/>
                <w:highlight w:val="none"/>
                <w:lang w:val="en-US" w:eastAsia="zh-CN"/>
              </w:rPr>
              <w:t>书面确认验收合格之日起5年</w:t>
            </w:r>
            <w:r>
              <w:rPr>
                <w:rFonts w:hint="eastAsia" w:ascii="宋体" w:hAnsi="宋体" w:eastAsia="宋体" w:cs="宋体"/>
                <w:color w:val="auto"/>
                <w:sz w:val="21"/>
                <w:szCs w:val="21"/>
                <w:highlight w:val="none"/>
              </w:rPr>
              <w:t>后一次性</w:t>
            </w:r>
            <w:r>
              <w:rPr>
                <w:rFonts w:hint="eastAsia" w:ascii="宋体" w:hAnsi="宋体" w:eastAsia="宋体" w:cs="宋体"/>
                <w:color w:val="auto"/>
                <w:sz w:val="21"/>
                <w:szCs w:val="21"/>
                <w:highlight w:val="none"/>
                <w:lang w:val="en-US" w:eastAsia="zh-CN"/>
              </w:rPr>
              <w:t>无息支付</w:t>
            </w:r>
            <w:r>
              <w:rPr>
                <w:rFonts w:hint="eastAsia" w:ascii="宋体" w:hAnsi="宋体" w:eastAsia="宋体" w:cs="宋体"/>
                <w:color w:val="auto"/>
                <w:sz w:val="21"/>
                <w:szCs w:val="21"/>
                <w:highlight w:val="none"/>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bl>
    <w:p>
      <w:pPr>
        <w:jc w:val="center"/>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both"/>
        <w:rPr>
          <w:rFonts w:hint="eastAsia" w:ascii="宋体" w:hAnsi="宋体"/>
          <w:b/>
          <w:color w:val="auto"/>
          <w:kern w:val="28"/>
          <w:sz w:val="44"/>
          <w:szCs w:val="36"/>
          <w:highlight w:val="none"/>
        </w:rPr>
        <w:sectPr>
          <w:footerReference r:id="rId3" w:type="default"/>
          <w:pgSz w:w="11906" w:h="16838"/>
          <w:pgMar w:top="1440" w:right="1800" w:bottom="1440" w:left="1800" w:header="851" w:footer="425" w:gutter="0"/>
          <w:cols w:space="425" w:num="1"/>
          <w:docGrid w:type="lines" w:linePitch="312" w:charSpace="0"/>
        </w:sectPr>
      </w:pPr>
    </w:p>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p>
      <w:pPr>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rPr>
        <w:t>试剂耗材询价情况一览表</w:t>
      </w:r>
      <w:r>
        <w:rPr>
          <w:rFonts w:hint="eastAsia"/>
          <w:sz w:val="24"/>
          <w:szCs w:val="24"/>
          <w:highlight w:val="none"/>
          <w:lang w:eastAsia="zh-CN"/>
        </w:rPr>
        <w:t>》</w:t>
      </w:r>
    </w:p>
    <w:tbl>
      <w:tblPr>
        <w:tblStyle w:val="12"/>
        <w:tblpPr w:leftFromText="180" w:rightFromText="180" w:vertAnchor="page" w:horzAnchor="page" w:tblpX="845" w:tblpY="2601"/>
        <w:tblOverlap w:val="never"/>
        <w:tblW w:w="14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7"/>
        <w:gridCol w:w="1063"/>
        <w:gridCol w:w="1171"/>
        <w:gridCol w:w="1196"/>
        <w:gridCol w:w="1424"/>
        <w:gridCol w:w="1507"/>
        <w:gridCol w:w="1348"/>
        <w:gridCol w:w="1692"/>
        <w:gridCol w:w="1155"/>
        <w:gridCol w:w="115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9" w:hRule="atLeast"/>
        </w:trPr>
        <w:tc>
          <w:tcPr>
            <w:tcW w:w="797" w:type="dxa"/>
            <w:shd w:val="clear" w:color="auto" w:fill="auto"/>
            <w:noWrap/>
            <w:vAlign w:val="center"/>
          </w:tcPr>
          <w:p>
            <w:pPr>
              <w:bidi w:val="0"/>
              <w:rPr>
                <w:rFonts w:hint="eastAsia"/>
                <w:highlight w:val="none"/>
                <w:lang w:val="en-US" w:eastAsia="zh-CN"/>
              </w:rPr>
            </w:pPr>
          </w:p>
          <w:p>
            <w:pPr>
              <w:bidi w:val="0"/>
              <w:jc w:val="left"/>
              <w:rPr>
                <w:rFonts w:hint="default"/>
                <w:highlight w:val="none"/>
                <w:lang w:val="en-US" w:eastAsia="zh-CN"/>
              </w:rPr>
            </w:pPr>
            <w:r>
              <w:rPr>
                <w:rFonts w:hint="eastAsia"/>
                <w:highlight w:val="none"/>
                <w:lang w:val="en-US" w:eastAsia="zh-CN"/>
              </w:rPr>
              <w:t>序号</w:t>
            </w:r>
          </w:p>
        </w:tc>
        <w:tc>
          <w:tcPr>
            <w:tcW w:w="10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项目名称</w:t>
            </w:r>
          </w:p>
        </w:tc>
        <w:tc>
          <w:tcPr>
            <w:tcW w:w="117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收费编码以及收费标准</w:t>
            </w:r>
          </w:p>
        </w:tc>
        <w:tc>
          <w:tcPr>
            <w:tcW w:w="119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产品名称</w:t>
            </w:r>
          </w:p>
        </w:tc>
        <w:tc>
          <w:tcPr>
            <w:tcW w:w="142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15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产品注册证</w:t>
            </w:r>
          </w:p>
        </w:tc>
        <w:tc>
          <w:tcPr>
            <w:tcW w:w="134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药交ID</w:t>
            </w:r>
          </w:p>
        </w:tc>
        <w:tc>
          <w:tcPr>
            <w:tcW w:w="169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产品编码</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sz w:val="21"/>
                <w:szCs w:val="21"/>
                <w:highlight w:val="cyan"/>
                <w:lang w:val="en-US" w:eastAsia="zh-CN"/>
              </w:rPr>
              <w:t>价格（报价不得省平台价格）</w:t>
            </w:r>
          </w:p>
        </w:tc>
        <w:tc>
          <w:tcPr>
            <w:tcW w:w="115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sz w:val="21"/>
                <w:szCs w:val="21"/>
                <w:highlight w:val="none"/>
              </w:rPr>
              <w:t>可供多少人使用</w:t>
            </w:r>
          </w:p>
        </w:tc>
        <w:tc>
          <w:tcPr>
            <w:tcW w:w="115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每人次单价（元）</w:t>
            </w:r>
          </w:p>
        </w:tc>
        <w:tc>
          <w:tcPr>
            <w:tcW w:w="115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合计：</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总单价（完成一个测试每人</w:t>
            </w:r>
            <w:r>
              <w:rPr>
                <w:rFonts w:hint="eastAsia" w:ascii="宋体" w:hAnsi="宋体" w:cs="宋体"/>
                <w:i w:val="0"/>
                <w:iCs w:val="0"/>
                <w:color w:val="000000"/>
                <w:kern w:val="0"/>
                <w:sz w:val="21"/>
                <w:szCs w:val="21"/>
                <w:highlight w:val="none"/>
                <w:u w:val="none"/>
                <w:lang w:val="en-US" w:eastAsia="zh-CN" w:bidi="ar"/>
              </w:rPr>
              <w:t>次</w:t>
            </w:r>
            <w:r>
              <w:rPr>
                <w:rFonts w:hint="eastAsia" w:ascii="宋体" w:hAnsi="宋体" w:eastAsia="宋体" w:cs="宋体"/>
                <w:i w:val="0"/>
                <w:iCs w:val="0"/>
                <w:color w:val="000000"/>
                <w:kern w:val="0"/>
                <w:sz w:val="21"/>
                <w:szCs w:val="21"/>
                <w:highlight w:val="none"/>
                <w:u w:val="none"/>
                <w:lang w:val="en-US" w:eastAsia="zh-CN" w:bidi="ar"/>
              </w:rPr>
              <w:t>所需价格）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3" w:hRule="atLeast"/>
        </w:trPr>
        <w:tc>
          <w:tcPr>
            <w:tcW w:w="797" w:type="dxa"/>
            <w:vMerge w:val="restart"/>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w:t>
            </w:r>
          </w:p>
        </w:tc>
        <w:tc>
          <w:tcPr>
            <w:tcW w:w="1063" w:type="dxa"/>
            <w:vMerge w:val="restart"/>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糖化血红蛋白测定-色谱法</w:t>
            </w:r>
          </w:p>
        </w:tc>
        <w:tc>
          <w:tcPr>
            <w:tcW w:w="1171" w:type="dxa"/>
            <w:vMerge w:val="restart"/>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250302003-1</w:t>
            </w:r>
            <w:r>
              <w:rPr>
                <w:rFonts w:hint="eastAsia" w:ascii="宋体" w:hAnsi="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71元</w:t>
            </w: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糖化血红蛋白层析柱</w:t>
            </w: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5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34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69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180元</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10人</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18元</w:t>
            </w:r>
          </w:p>
        </w:tc>
        <w:tc>
          <w:tcPr>
            <w:tcW w:w="1155"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797" w:type="dxa"/>
            <w:vMerge w:val="continue"/>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063" w:type="dxa"/>
            <w:vMerge w:val="continue"/>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171" w:type="dxa"/>
            <w:vMerge w:val="continue"/>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糖化血红蛋白溶血剂</w:t>
            </w: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5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34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bidi="ar"/>
              </w:rPr>
              <w:t>xxx</w:t>
            </w:r>
          </w:p>
        </w:tc>
        <w:tc>
          <w:tcPr>
            <w:tcW w:w="1692"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xxx</w:t>
            </w: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120元</w:t>
            </w: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10人</w:t>
            </w: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12元</w:t>
            </w:r>
          </w:p>
        </w:tc>
        <w:tc>
          <w:tcPr>
            <w:tcW w:w="1155" w:type="dxa"/>
            <w:vMerge w:val="continue"/>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97"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063"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17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5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48"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692"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797" w:type="dxa"/>
            <w:shd w:val="clear" w:color="auto" w:fill="auto"/>
            <w:noWrap/>
            <w:vAlign w:val="center"/>
          </w:tcPr>
          <w:p>
            <w:pPr>
              <w:jc w:val="center"/>
              <w:rPr>
                <w:rFonts w:hint="eastAsia" w:ascii="宋体" w:hAnsi="宋体" w:cs="宋体"/>
                <w:i w:val="0"/>
                <w:iCs w:val="0"/>
                <w:color w:val="000000"/>
                <w:sz w:val="24"/>
                <w:szCs w:val="24"/>
                <w:highlight w:val="none"/>
                <w:u w:val="none"/>
                <w:lang w:val="en-US" w:eastAsia="zh-CN"/>
              </w:rPr>
            </w:pPr>
          </w:p>
        </w:tc>
        <w:tc>
          <w:tcPr>
            <w:tcW w:w="1063"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7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5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48"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692"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bl>
    <w:p>
      <w:pPr>
        <w:pStyle w:val="4"/>
        <w:rPr>
          <w:rFonts w:ascii="仿宋" w:hAnsi="仿宋" w:eastAsia="仿宋" w:cs="仿宋"/>
          <w:color w:val="auto"/>
          <w:sz w:val="24"/>
          <w:highlight w:val="none"/>
          <w:lang w:val="zh-CN"/>
        </w:rPr>
      </w:pPr>
      <w:r>
        <w:rPr>
          <w:rFonts w:hint="eastAsia" w:ascii="宋体" w:hAnsi="宋体" w:eastAsia="宋体" w:cs="宋体"/>
          <w:color w:val="auto"/>
          <w:sz w:val="21"/>
          <w:szCs w:val="21"/>
          <w:highlight w:val="none"/>
          <w:lang w:val="en-US" w:eastAsia="zh-CN"/>
        </w:rPr>
        <w:t>全自动</w:t>
      </w:r>
      <w:r>
        <w:rPr>
          <w:rFonts w:hint="eastAsia" w:ascii="宋体" w:hAnsi="宋体" w:eastAsia="宋体" w:cs="宋体"/>
          <w:color w:val="auto"/>
          <w:sz w:val="21"/>
          <w:szCs w:val="21"/>
          <w:highlight w:val="none"/>
          <w:lang w:eastAsia="zh-CN"/>
        </w:rPr>
        <w:t>血栓弹力图仪</w:t>
      </w:r>
      <w:r>
        <w:rPr>
          <w:rFonts w:hint="eastAsia" w:ascii="宋体" w:hAnsi="宋体" w:eastAsia="宋体" w:cs="宋体"/>
          <w:color w:val="auto"/>
          <w:szCs w:val="21"/>
          <w:highlight w:val="none"/>
          <w:lang w:val="en-US" w:eastAsia="zh-CN"/>
        </w:rPr>
        <w:t>开展的检测项目，</w:t>
      </w:r>
      <w:r>
        <w:rPr>
          <w:color w:val="auto"/>
          <w:sz w:val="21"/>
          <w:highlight w:val="none"/>
        </w:rPr>
        <w:t>每人次整体成本</w:t>
      </w:r>
      <w:r>
        <w:rPr>
          <w:rFonts w:hint="eastAsia"/>
          <w:color w:val="auto"/>
          <w:sz w:val="21"/>
          <w:highlight w:val="none"/>
          <w:lang w:eastAsia="zh-CN"/>
        </w:rPr>
        <w:t>（</w:t>
      </w:r>
      <w:r>
        <w:rPr>
          <w:color w:val="auto"/>
          <w:sz w:val="21"/>
          <w:highlight w:val="none"/>
        </w:rPr>
        <w:t>含</w:t>
      </w:r>
      <w:r>
        <w:rPr>
          <w:rFonts w:hint="eastAsia"/>
          <w:color w:val="auto"/>
          <w:sz w:val="21"/>
          <w:highlight w:val="none"/>
          <w:lang w:val="en-US" w:eastAsia="zh-CN"/>
        </w:rPr>
        <w:t>试剂和</w:t>
      </w:r>
      <w:r>
        <w:rPr>
          <w:color w:val="auto"/>
          <w:sz w:val="21"/>
          <w:highlight w:val="none"/>
        </w:rPr>
        <w:t>消耗性耗材</w:t>
      </w:r>
      <w:r>
        <w:rPr>
          <w:rFonts w:hint="eastAsia"/>
          <w:color w:val="auto"/>
          <w:sz w:val="21"/>
          <w:highlight w:val="none"/>
          <w:lang w:eastAsia="zh-CN"/>
        </w:rPr>
        <w:t>）</w:t>
      </w:r>
      <w:r>
        <w:rPr>
          <w:color w:val="auto"/>
          <w:sz w:val="21"/>
          <w:highlight w:val="none"/>
        </w:rPr>
        <w:t>不得</w:t>
      </w:r>
      <w:r>
        <w:rPr>
          <w:rFonts w:hint="eastAsia"/>
          <w:color w:val="auto"/>
          <w:highlight w:val="none"/>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血常规-五分类：250101015-2，18元/次；网织红细胞计数(Ret)：250101005-2，11元/项；超敏C反应蛋白测定：250301017，36元/项；血清淀粉样蛋白测定(SAA)：250301019，53元/项）最新版本中收费标准。</w:t>
      </w:r>
    </w:p>
    <w:sectPr>
      <w:pgSz w:w="16838" w:h="11906" w:orient="landscape"/>
      <w:pgMar w:top="1800" w:right="1440" w:bottom="1800" w:left="144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8"/>
        </w:pP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8"/>
                      <w:jc w:val="center"/>
                    </w:pPr>
                    <w:r>
                      <w:rPr>
                        <w:lang w:val="zh-CN"/>
                      </w:rPr>
                      <w:t xml:space="preserve"> </w:t>
                    </w:r>
                  </w:p>
                </w:txbxContent>
              </v:textbox>
            </v:shape>
          </w:pict>
        </w:r>
      </w:p>
      <w:p>
        <w:pPr>
          <w:pStyle w:val="8"/>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C173F"/>
    <w:multiLevelType w:val="singleLevel"/>
    <w:tmpl w:val="809C173F"/>
    <w:lvl w:ilvl="0" w:tentative="0">
      <w:start w:val="1"/>
      <w:numFmt w:val="decimal"/>
      <w:suff w:val="nothing"/>
      <w:lvlText w:val="%1、"/>
      <w:lvlJc w:val="left"/>
    </w:lvl>
  </w:abstractNum>
  <w:abstractNum w:abstractNumId="1">
    <w:nsid w:val="CAF3BB20"/>
    <w:multiLevelType w:val="singleLevel"/>
    <w:tmpl w:val="CAF3BB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2Nzk3NzUwMGUwNGNhMDMwYmI3NjJjZDM0MWY5MzYifQ=="/>
  </w:docVars>
  <w:rsids>
    <w:rsidRoot w:val="027725AF"/>
    <w:rsid w:val="00000267"/>
    <w:rsid w:val="00000AF6"/>
    <w:rsid w:val="000037D6"/>
    <w:rsid w:val="00016B72"/>
    <w:rsid w:val="00036444"/>
    <w:rsid w:val="00043BEF"/>
    <w:rsid w:val="00065257"/>
    <w:rsid w:val="000C5864"/>
    <w:rsid w:val="00136269"/>
    <w:rsid w:val="00152E6E"/>
    <w:rsid w:val="001564F2"/>
    <w:rsid w:val="00164D4A"/>
    <w:rsid w:val="00194BEB"/>
    <w:rsid w:val="001D1D4A"/>
    <w:rsid w:val="001F6B01"/>
    <w:rsid w:val="00215636"/>
    <w:rsid w:val="0022457A"/>
    <w:rsid w:val="00227ED6"/>
    <w:rsid w:val="00234D13"/>
    <w:rsid w:val="002616DE"/>
    <w:rsid w:val="00283D40"/>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4791"/>
    <w:rsid w:val="00467A71"/>
    <w:rsid w:val="004A1404"/>
    <w:rsid w:val="004C251B"/>
    <w:rsid w:val="005002B7"/>
    <w:rsid w:val="00507EB2"/>
    <w:rsid w:val="0052211A"/>
    <w:rsid w:val="00524703"/>
    <w:rsid w:val="0053033B"/>
    <w:rsid w:val="00535647"/>
    <w:rsid w:val="005472B7"/>
    <w:rsid w:val="00553084"/>
    <w:rsid w:val="0055425D"/>
    <w:rsid w:val="00587AFC"/>
    <w:rsid w:val="005A38AB"/>
    <w:rsid w:val="005C193F"/>
    <w:rsid w:val="005D041B"/>
    <w:rsid w:val="005D4C82"/>
    <w:rsid w:val="00607917"/>
    <w:rsid w:val="00643222"/>
    <w:rsid w:val="00646CFF"/>
    <w:rsid w:val="006933D1"/>
    <w:rsid w:val="00695736"/>
    <w:rsid w:val="006A0103"/>
    <w:rsid w:val="00702D3D"/>
    <w:rsid w:val="00762772"/>
    <w:rsid w:val="0077615F"/>
    <w:rsid w:val="007943B1"/>
    <w:rsid w:val="007A320E"/>
    <w:rsid w:val="007A3E4E"/>
    <w:rsid w:val="007B6779"/>
    <w:rsid w:val="007D756B"/>
    <w:rsid w:val="007E3690"/>
    <w:rsid w:val="007E613A"/>
    <w:rsid w:val="007F2B11"/>
    <w:rsid w:val="007F33E6"/>
    <w:rsid w:val="007F772E"/>
    <w:rsid w:val="008639CD"/>
    <w:rsid w:val="00876B88"/>
    <w:rsid w:val="008A5819"/>
    <w:rsid w:val="008A6F6D"/>
    <w:rsid w:val="008F4E7C"/>
    <w:rsid w:val="008F6ACD"/>
    <w:rsid w:val="0092262F"/>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2351"/>
    <w:rsid w:val="00D932D0"/>
    <w:rsid w:val="00DC1A43"/>
    <w:rsid w:val="00E21F2C"/>
    <w:rsid w:val="00E35651"/>
    <w:rsid w:val="00E60436"/>
    <w:rsid w:val="00E71C5B"/>
    <w:rsid w:val="00EA68FA"/>
    <w:rsid w:val="00EC3435"/>
    <w:rsid w:val="00F066CA"/>
    <w:rsid w:val="00F42A70"/>
    <w:rsid w:val="00F75603"/>
    <w:rsid w:val="00F801B8"/>
    <w:rsid w:val="00F82B4B"/>
    <w:rsid w:val="00FA3C7F"/>
    <w:rsid w:val="00FE1DDB"/>
    <w:rsid w:val="00FF4826"/>
    <w:rsid w:val="027725AF"/>
    <w:rsid w:val="02BB05E3"/>
    <w:rsid w:val="038500F8"/>
    <w:rsid w:val="04574294"/>
    <w:rsid w:val="046572CE"/>
    <w:rsid w:val="063D4CBA"/>
    <w:rsid w:val="0F082B2B"/>
    <w:rsid w:val="10795523"/>
    <w:rsid w:val="10940206"/>
    <w:rsid w:val="110D6847"/>
    <w:rsid w:val="11A9557D"/>
    <w:rsid w:val="126775F5"/>
    <w:rsid w:val="13F912AF"/>
    <w:rsid w:val="140524A5"/>
    <w:rsid w:val="17A84A31"/>
    <w:rsid w:val="184216FE"/>
    <w:rsid w:val="18AC198D"/>
    <w:rsid w:val="19015C51"/>
    <w:rsid w:val="1A362D0A"/>
    <w:rsid w:val="1A9A1AE2"/>
    <w:rsid w:val="1B7A09AE"/>
    <w:rsid w:val="1D3B4F89"/>
    <w:rsid w:val="1DB403E5"/>
    <w:rsid w:val="1DE66728"/>
    <w:rsid w:val="1F0C2891"/>
    <w:rsid w:val="1FF004A0"/>
    <w:rsid w:val="216D77C8"/>
    <w:rsid w:val="21F75571"/>
    <w:rsid w:val="24D0297A"/>
    <w:rsid w:val="26AC3567"/>
    <w:rsid w:val="27094723"/>
    <w:rsid w:val="270F59F1"/>
    <w:rsid w:val="27F37477"/>
    <w:rsid w:val="28E070A3"/>
    <w:rsid w:val="29447B44"/>
    <w:rsid w:val="29D54CD9"/>
    <w:rsid w:val="2A710EAE"/>
    <w:rsid w:val="2B9A59A4"/>
    <w:rsid w:val="2C1D6D0A"/>
    <w:rsid w:val="2D887C39"/>
    <w:rsid w:val="2D993838"/>
    <w:rsid w:val="2E110DC4"/>
    <w:rsid w:val="32174B6B"/>
    <w:rsid w:val="33126B04"/>
    <w:rsid w:val="33712CFE"/>
    <w:rsid w:val="33895773"/>
    <w:rsid w:val="39CC5697"/>
    <w:rsid w:val="3C740147"/>
    <w:rsid w:val="3C92069F"/>
    <w:rsid w:val="3E9B4363"/>
    <w:rsid w:val="3EEE625E"/>
    <w:rsid w:val="443A5766"/>
    <w:rsid w:val="44746547"/>
    <w:rsid w:val="47D506ED"/>
    <w:rsid w:val="4B8B77AE"/>
    <w:rsid w:val="4BF76F64"/>
    <w:rsid w:val="4CC974C4"/>
    <w:rsid w:val="4E727A0D"/>
    <w:rsid w:val="4EBD0A92"/>
    <w:rsid w:val="4FA1686D"/>
    <w:rsid w:val="50FE7EA4"/>
    <w:rsid w:val="579F1125"/>
    <w:rsid w:val="58FB7C62"/>
    <w:rsid w:val="5973357C"/>
    <w:rsid w:val="5A3921D0"/>
    <w:rsid w:val="5DC71851"/>
    <w:rsid w:val="5F0D4BF0"/>
    <w:rsid w:val="656A70AF"/>
    <w:rsid w:val="66AA15BF"/>
    <w:rsid w:val="684045C5"/>
    <w:rsid w:val="69340CF8"/>
    <w:rsid w:val="6C171CF3"/>
    <w:rsid w:val="6DDF526D"/>
    <w:rsid w:val="744B3E55"/>
    <w:rsid w:val="74D672EF"/>
    <w:rsid w:val="7B897636"/>
    <w:rsid w:val="7BDA70B6"/>
    <w:rsid w:val="7C115C9E"/>
    <w:rsid w:val="7CC571A4"/>
    <w:rsid w:val="7E2C2E60"/>
    <w:rsid w:val="7EA2205F"/>
    <w:rsid w:val="7FCF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4">
    <w:name w:val="Normal Indent"/>
    <w:basedOn w:val="1"/>
    <w:qFormat/>
    <w:uiPriority w:val="0"/>
    <w:pPr>
      <w:spacing w:line="360" w:lineRule="auto"/>
      <w:ind w:firstLine="420"/>
    </w:pPr>
    <w:rPr>
      <w:rFonts w:ascii="宋体"/>
    </w:rPr>
  </w:style>
  <w:style w:type="paragraph" w:styleId="5">
    <w:name w:val="annotation text"/>
    <w:basedOn w:val="1"/>
    <w:link w:val="17"/>
    <w:qFormat/>
    <w:uiPriority w:val="0"/>
    <w:pPr>
      <w:widowControl/>
      <w:jc w:val="left"/>
    </w:pPr>
    <w:rPr>
      <w:kern w:val="0"/>
      <w:szCs w:val="20"/>
    </w:r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18"/>
    <w:qFormat/>
    <w:uiPriority w:val="0"/>
    <w:pPr>
      <w:widowControl w:val="0"/>
    </w:pPr>
    <w:rPr>
      <w:b/>
      <w:bCs/>
      <w:kern w:val="2"/>
      <w:szCs w:val="24"/>
    </w:rPr>
  </w:style>
  <w:style w:type="paragraph" w:styleId="11">
    <w:name w:val="Body Text First Indent"/>
    <w:basedOn w:val="1"/>
    <w:next w:val="1"/>
    <w:qFormat/>
    <w:uiPriority w:val="0"/>
    <w:pPr>
      <w:spacing w:after="0" w:line="360" w:lineRule="auto"/>
      <w:ind w:firstLine="425"/>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styleId="16">
    <w:name w:val="List Paragraph"/>
    <w:basedOn w:val="1"/>
    <w:unhideWhenUsed/>
    <w:qFormat/>
    <w:uiPriority w:val="99"/>
    <w:pPr>
      <w:ind w:firstLine="420" w:firstLineChars="200"/>
    </w:pPr>
  </w:style>
  <w:style w:type="character" w:customStyle="1" w:styleId="17">
    <w:name w:val="批注文字 Char"/>
    <w:basedOn w:val="14"/>
    <w:link w:val="5"/>
    <w:qFormat/>
    <w:uiPriority w:val="0"/>
    <w:rPr>
      <w:rFonts w:asciiTheme="minorHAnsi" w:hAnsiTheme="minorHAnsi" w:eastAsiaTheme="minorEastAsia" w:cstheme="minorBidi"/>
      <w:sz w:val="21"/>
    </w:rPr>
  </w:style>
  <w:style w:type="character" w:customStyle="1" w:styleId="18">
    <w:name w:val="批注主题 Char"/>
    <w:basedOn w:val="17"/>
    <w:link w:val="10"/>
    <w:qFormat/>
    <w:uiPriority w:val="0"/>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页脚 Char"/>
    <w:basedOn w:val="14"/>
    <w:link w:val="8"/>
    <w:qFormat/>
    <w:uiPriority w:val="99"/>
    <w:rPr>
      <w:rFonts w:asciiTheme="minorHAnsi" w:hAnsiTheme="minorHAnsi" w:eastAsiaTheme="minorEastAsia" w:cstheme="minorBidi"/>
      <w:kern w:val="2"/>
      <w:sz w:val="18"/>
      <w:szCs w:val="24"/>
    </w:rPr>
  </w:style>
  <w:style w:type="character" w:customStyle="1" w:styleId="22">
    <w:name w:val="fontstyle01"/>
    <w:basedOn w:val="14"/>
    <w:qFormat/>
    <w:uiPriority w:val="0"/>
    <w:rPr>
      <w:rFonts w:ascii="宋体" w:hAnsi="宋体" w:eastAsia="宋体" w:cs="宋体"/>
      <w:color w:val="000000"/>
      <w:sz w:val="18"/>
      <w:szCs w:val="18"/>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B98B8-8C96-45E0-AB1C-C2358129D99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3805</Words>
  <Characters>4231</Characters>
  <Lines>23</Lines>
  <Paragraphs>6</Paragraphs>
  <TotalTime>7</TotalTime>
  <ScaleCrop>false</ScaleCrop>
  <LinksUpToDate>false</LinksUpToDate>
  <CharactersWithSpaces>4247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Administrator</cp:lastModifiedBy>
  <cp:lastPrinted>2021-08-11T08:36:00Z</cp:lastPrinted>
  <dcterms:modified xsi:type="dcterms:W3CDTF">2023-06-26T03:47:35Z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D174C2C98887460CB11414CA33FE832D</vt:lpwstr>
  </property>
</Properties>
</file>