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（按说明书和设备铭牌信息填写）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w:t>
      </w:r>
      <w:r>
        <w:rPr>
          <w:rFonts w:hint="eastAsia" w:ascii="仿宋" w:hAnsi="仿宋" w:eastAsia="仿宋" w:cs="仿宋"/>
          <w:color w:val="000000"/>
          <w:sz w:val="24"/>
          <w:lang w:eastAsia="zh-CN"/>
        </w:rPr>
        <w:t>，</w:t>
      </w:r>
      <w:r>
        <w:rPr>
          <w:rFonts w:hint="eastAsia" w:ascii="仿宋" w:hAnsi="仿宋" w:eastAsia="仿宋" w:cs="仿宋"/>
          <w:color w:val="000000"/>
          <w:sz w:val="24"/>
        </w:rPr>
        <w:t>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w:t>
      </w:r>
      <w:r>
        <w:rPr>
          <w:rFonts w:hint="eastAsia" w:ascii="仿宋" w:hAnsi="仿宋" w:eastAsia="仿宋" w:cs="仿宋"/>
          <w:color w:val="000000"/>
          <w:sz w:val="24"/>
          <w:lang w:val="en-US" w:eastAsia="zh-CN"/>
        </w:rPr>
        <w:t>项目</w:t>
      </w:r>
      <w:r>
        <w:rPr>
          <w:rFonts w:hint="eastAsia" w:ascii="仿宋" w:hAnsi="仿宋" w:eastAsia="仿宋" w:cs="仿宋"/>
          <w:color w:val="000000"/>
          <w:sz w:val="24"/>
        </w:rPr>
        <w:t>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肩袖双枪集成过线器</w:t>
            </w:r>
          </w:p>
        </w:tc>
        <w:tc>
          <w:tcPr>
            <w:tcW w:w="2268"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骨二科</w:t>
            </w:r>
          </w:p>
        </w:tc>
        <w:tc>
          <w:tcPr>
            <w:tcW w:w="2508"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1套</w:t>
            </w:r>
          </w:p>
        </w:tc>
      </w:tr>
    </w:tbl>
    <w:p>
      <w:pPr>
        <w:spacing w:line="440" w:lineRule="exact"/>
        <w:rPr>
          <w:rFonts w:ascii="仿宋" w:hAnsi="仿宋" w:eastAsia="仿宋" w:cs="仿宋"/>
          <w:color w:val="000000"/>
          <w:sz w:val="24"/>
        </w:rPr>
      </w:pPr>
    </w:p>
    <w:p>
      <w:pPr>
        <w:pStyle w:val="2"/>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用途：</w:t>
      </w:r>
      <w:r>
        <w:rPr>
          <w:rFonts w:hint="eastAsia" w:ascii="仿宋" w:hAnsi="仿宋" w:eastAsia="仿宋" w:cs="仿宋"/>
          <w:color w:val="000000"/>
          <w:kern w:val="2"/>
          <w:sz w:val="24"/>
          <w:szCs w:val="24"/>
          <w:lang w:val="en-US" w:eastAsia="zh-CN" w:bidi="ar-SA"/>
        </w:rPr>
        <w:t>双枪集成过线器，用于肩关节组织穿刺及过线，能够过线抓线一步完成，可在进入关节腔一次的情况下完成两针式穿刺缝合。</w:t>
      </w:r>
      <w:bookmarkStart w:id="0" w:name="_GoBack"/>
      <w:bookmarkEnd w:id="0"/>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p>
      <w:pPr>
        <w:numPr>
          <w:ilvl w:val="0"/>
          <w:numId w:val="5"/>
        </w:num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精钢制作。</w:t>
      </w:r>
    </w:p>
    <w:p>
      <w:pPr>
        <w:numPr>
          <w:ilvl w:val="0"/>
          <w:numId w:val="5"/>
        </w:num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枪杆直径4.0-5.5mm。</w:t>
      </w:r>
    </w:p>
    <w:p>
      <w:pPr>
        <w:numPr>
          <w:ilvl w:val="0"/>
          <w:numId w:val="5"/>
        </w:num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前端张嘴宽度1.5-2.0厘米。</w:t>
      </w:r>
    </w:p>
    <w:p>
      <w:pPr>
        <w:numPr>
          <w:ilvl w:val="0"/>
          <w:numId w:val="5"/>
        </w:num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咬合组织厚度0.8-1.2厘米。</w:t>
      </w:r>
    </w:p>
    <w:p>
      <w:pPr>
        <w:pStyle w:val="2"/>
      </w:pPr>
    </w:p>
    <w:p>
      <w:pPr>
        <w:pStyle w:val="12"/>
        <w:numPr>
          <w:ilvl w:val="0"/>
          <w:numId w:val="0"/>
        </w:numPr>
        <w:spacing w:line="440" w:lineRule="exact"/>
        <w:ind w:leftChars="0"/>
        <w:rPr>
          <w:rFonts w:hint="eastAsia" w:ascii="仿宋" w:hAnsi="仿宋" w:eastAsia="仿宋" w:cs="仿宋"/>
          <w:b/>
          <w:color w:val="000000"/>
          <w:sz w:val="24"/>
        </w:rPr>
      </w:pPr>
      <w:r>
        <w:rPr>
          <w:rFonts w:hint="eastAsia" w:ascii="仿宋" w:hAnsi="仿宋" w:eastAsia="仿宋" w:cs="仿宋"/>
          <w:b/>
          <w:color w:val="000000"/>
          <w:sz w:val="24"/>
          <w:lang w:val="en-US" w:eastAsia="zh-CN"/>
        </w:rPr>
        <w:t>四、</w:t>
      </w:r>
      <w:r>
        <w:rPr>
          <w:rFonts w:ascii="仿宋" w:hAnsi="仿宋" w:eastAsia="仿宋" w:cs="仿宋"/>
          <w:b/>
          <w:color w:val="000000"/>
          <w:sz w:val="24"/>
        </w:rPr>
        <w:t>设备配套耗材</w:t>
      </w:r>
      <w:r>
        <w:rPr>
          <w:rFonts w:hint="eastAsia" w:ascii="仿宋" w:hAnsi="仿宋" w:eastAsia="仿宋" w:cs="仿宋"/>
          <w:b/>
          <w:color w:val="000000"/>
          <w:sz w:val="24"/>
        </w:rPr>
        <w:t>/试剂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2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212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耗材/试剂名称</w:t>
            </w:r>
          </w:p>
        </w:tc>
        <w:tc>
          <w:tcPr>
            <w:tcW w:w="5245"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2126" w:type="dxa"/>
            <w:noWrap w:val="0"/>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过线器</w:t>
            </w:r>
          </w:p>
        </w:tc>
        <w:tc>
          <w:tcPr>
            <w:tcW w:w="5245"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最高限价：  5000元/个   </w:t>
            </w:r>
          </w:p>
        </w:tc>
      </w:tr>
    </w:tbl>
    <w:p>
      <w:pPr>
        <w:spacing w:line="440" w:lineRule="exact"/>
        <w:rPr>
          <w:rFonts w:hint="eastAsia"/>
          <w:color w:val="auto"/>
          <w:highlight w:val="none"/>
          <w:lang w:val="en-US" w:eastAsia="zh-CN"/>
        </w:rPr>
      </w:pPr>
      <w:r>
        <w:rPr>
          <w:rFonts w:hint="eastAsia" w:ascii="仿宋" w:hAnsi="仿宋" w:eastAsia="仿宋" w:cs="仿宋"/>
          <w:b w:val="0"/>
          <w:bCs/>
          <w:color w:val="auto"/>
          <w:sz w:val="24"/>
          <w:highlight w:val="none"/>
          <w:lang w:val="en-US" w:eastAsia="zh-CN"/>
        </w:rPr>
        <w:t>★1.所有耗材必须在广东省药品电子交易平台交易并且不高于平台的限价。</w:t>
      </w:r>
    </w:p>
    <w:p>
      <w:pPr>
        <w:pStyle w:val="2"/>
        <w:numPr>
          <w:ilvl w:val="0"/>
          <w:numId w:val="0"/>
        </w:numPr>
        <w:rPr>
          <w:rFonts w:hint="default" w:eastAsia="宋体" w:cs="Times New Roman"/>
          <w:color w:val="auto"/>
          <w:highlight w:val="none"/>
          <w:lang w:val="en-US" w:eastAsia="zh-CN"/>
        </w:rPr>
      </w:pPr>
      <w:r>
        <w:rPr>
          <w:rFonts w:hint="eastAsia" w:ascii="仿宋" w:hAnsi="仿宋" w:eastAsia="仿宋" w:cs="仿宋"/>
          <w:b w:val="0"/>
          <w:bCs/>
          <w:color w:val="auto"/>
          <w:sz w:val="24"/>
          <w:highlight w:val="none"/>
          <w:lang w:val="en-US" w:eastAsia="zh-CN"/>
        </w:rPr>
        <w:t>★2.</w:t>
      </w:r>
      <w:r>
        <w:rPr>
          <w:rFonts w:hint="default" w:ascii="仿宋" w:hAnsi="仿宋" w:eastAsia="仿宋" w:cs="仿宋"/>
          <w:b w:val="0"/>
          <w:bCs/>
          <w:color w:val="auto"/>
          <w:kern w:val="2"/>
          <w:sz w:val="24"/>
          <w:szCs w:val="24"/>
          <w:highlight w:val="none"/>
          <w:lang w:val="en-US" w:eastAsia="zh-CN" w:bidi="ar-SA"/>
        </w:rPr>
        <w:t>所投设备的配套耗材必须有正规国家医保耗材码，同时纳入广东省和中山市的医保目录库。</w:t>
      </w:r>
    </w:p>
    <w:p>
      <w:pPr>
        <w:spacing w:line="440" w:lineRule="exact"/>
        <w:rPr>
          <w:rFonts w:ascii="仿宋" w:hAnsi="仿宋" w:eastAsia="仿宋" w:cs="仿宋"/>
          <w:b/>
          <w:color w:val="000000"/>
          <w:sz w:val="24"/>
        </w:rPr>
      </w:pPr>
    </w:p>
    <w:p>
      <w:pPr>
        <w:pStyle w:val="12"/>
        <w:numPr>
          <w:ilvl w:val="0"/>
          <w:numId w:val="6"/>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30</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日内完成设备的安装调试。</w:t>
      </w:r>
    </w:p>
    <w:p>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lang w:val="en-US" w:eastAsia="zh-CN"/>
        </w:rPr>
        <w:t>1.3合同设备</w:t>
      </w:r>
      <w:r>
        <w:rPr>
          <w:rFonts w:hint="eastAsia" w:ascii="仿宋" w:hAnsi="仿宋" w:eastAsia="仿宋" w:cs="仿宋"/>
          <w:color w:val="000000"/>
          <w:sz w:val="24"/>
        </w:rPr>
        <w:t>交付时中标供应商应提供</w:t>
      </w:r>
      <w:r>
        <w:rPr>
          <w:rFonts w:hint="eastAsia" w:ascii="仿宋" w:hAnsi="仿宋" w:eastAsia="仿宋" w:cs="仿宋"/>
          <w:color w:val="000000"/>
          <w:sz w:val="24"/>
          <w:lang w:val="en-US" w:eastAsia="zh-CN"/>
        </w:rPr>
        <w:t>合同设备</w:t>
      </w:r>
      <w:r>
        <w:rPr>
          <w:rFonts w:hint="eastAsia" w:ascii="仿宋" w:hAnsi="仿宋" w:eastAsia="仿宋" w:cs="仿宋"/>
          <w:color w:val="000000"/>
          <w:sz w:val="24"/>
        </w:rPr>
        <w:t>真实有效的生产日期，且保证</w:t>
      </w:r>
      <w:r>
        <w:rPr>
          <w:rFonts w:hint="eastAsia" w:ascii="仿宋" w:hAnsi="仿宋" w:eastAsia="仿宋" w:cs="仿宋"/>
          <w:color w:val="000000"/>
          <w:sz w:val="24"/>
          <w:lang w:val="en-US" w:eastAsia="zh-CN"/>
        </w:rPr>
        <w:t>合同设备的</w:t>
      </w:r>
      <w:r>
        <w:rPr>
          <w:rFonts w:hint="eastAsia" w:ascii="仿宋" w:hAnsi="仿宋" w:eastAsia="仿宋" w:cs="仿宋"/>
          <w:color w:val="000000"/>
          <w:sz w:val="24"/>
        </w:rPr>
        <w:t>生产日期距交付时的时间差</w:t>
      </w:r>
      <w:r>
        <w:rPr>
          <w:rFonts w:hint="eastAsia" w:ascii="仿宋" w:hAnsi="仿宋" w:eastAsia="仿宋" w:cs="仿宋"/>
          <w:color w:val="000000"/>
          <w:sz w:val="24"/>
          <w:highlight w:val="none"/>
          <w:lang w:val="en-US" w:eastAsia="zh-CN"/>
        </w:rPr>
        <w:t>国产设备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进口设备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12</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6</w:t>
      </w:r>
      <w:r>
        <w:rPr>
          <w:rFonts w:hint="eastAsia" w:ascii="仿宋" w:hAnsi="仿宋" w:eastAsia="仿宋" w:cs="仿宋"/>
          <w:color w:val="000000"/>
          <w:sz w:val="24"/>
        </w:rPr>
        <w:t>验收方式：按《小榄镇</w:t>
      </w:r>
      <w:r>
        <w:rPr>
          <w:rFonts w:hint="eastAsia" w:ascii="仿宋" w:hAnsi="仿宋" w:eastAsia="仿宋" w:cs="仿宋"/>
          <w:color w:val="000000"/>
          <w:sz w:val="24"/>
          <w:lang w:eastAsia="zh-CN"/>
        </w:rPr>
        <w:t>公立</w:t>
      </w:r>
      <w:r>
        <w:rPr>
          <w:rFonts w:hint="eastAsia" w:ascii="仿宋" w:hAnsi="仿宋" w:eastAsia="仿宋" w:cs="仿宋"/>
          <w:color w:val="000000"/>
          <w:sz w:val="24"/>
        </w:rPr>
        <w:t>医院</w:t>
      </w:r>
      <w:r>
        <w:rPr>
          <w:rFonts w:hint="eastAsia" w:ascii="仿宋" w:hAnsi="仿宋" w:eastAsia="仿宋" w:cs="仿宋"/>
          <w:color w:val="000000"/>
          <w:sz w:val="24"/>
          <w:lang w:eastAsia="zh-CN"/>
        </w:rPr>
        <w:t>政府</w:t>
      </w:r>
      <w:r>
        <w:rPr>
          <w:rFonts w:hint="eastAsia" w:ascii="仿宋" w:hAnsi="仿宋" w:eastAsia="仿宋" w:cs="仿宋"/>
          <w:color w:val="000000"/>
          <w:sz w:val="24"/>
        </w:rPr>
        <w:t>采购和验收</w:t>
      </w:r>
      <w:r>
        <w:rPr>
          <w:rFonts w:hint="eastAsia" w:ascii="仿宋" w:hAnsi="仿宋" w:eastAsia="仿宋" w:cs="仿宋"/>
          <w:color w:val="000000"/>
          <w:sz w:val="24"/>
          <w:lang w:eastAsia="zh-CN"/>
        </w:rPr>
        <w:t>办法</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7</w:t>
      </w:r>
      <w:r>
        <w:rPr>
          <w:rFonts w:hint="eastAsia" w:ascii="仿宋" w:hAnsi="仿宋" w:eastAsia="仿宋" w:cs="仿宋"/>
          <w:color w:val="000000"/>
          <w:sz w:val="24"/>
        </w:rPr>
        <w:t>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1</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rPr>
        <w:t>后无息支付。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FD74503"/>
    <w:multiLevelType w:val="singleLevel"/>
    <w:tmpl w:val="2FD74503"/>
    <w:lvl w:ilvl="0" w:tentative="0">
      <w:start w:val="1"/>
      <w:numFmt w:val="decimal"/>
      <w:lvlText w:val="%1."/>
      <w:lvlJc w:val="left"/>
      <w:pPr>
        <w:tabs>
          <w:tab w:val="left" w:pos="312"/>
        </w:tabs>
      </w:p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 w:val="7F970F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638</Words>
  <Characters>725</Characters>
  <Lines>5</Lines>
  <Paragraphs>1</Paragraphs>
  <TotalTime>2</TotalTime>
  <ScaleCrop>false</ScaleCrop>
  <LinksUpToDate>false</LinksUpToDate>
  <CharactersWithSpaces>809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2023-06-26T02:24:35Z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D05CD1CFEC4447AAB0331648D68BB53B_13</vt:lpwstr>
  </property>
</Properties>
</file>