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（按说明书和设备铭牌信息填写）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5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5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9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rPr>
          <w:rFonts w:ascii="宋体" w:hAnsi="宋体"/>
          <w:sz w:val="24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10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highlight w:val="none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>医用显示器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highlight w:val="none"/>
              </w:rPr>
              <w:t>采购要求</w:t>
            </w:r>
          </w:p>
        </w:tc>
        <w:tc>
          <w:tcPr>
            <w:tcW w:w="7133" w:type="dxa"/>
          </w:tcPr>
          <w:p>
            <w:pPr>
              <w:pStyle w:val="2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图像性能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面板：a-SiTFT有源矩阵液晶显示屏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像素间距：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0.3114 x 0.3114 mm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分辨率 (H x V)：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1920x1080像素（全高清）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宽高比：16:09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有效像素：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0.9999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背光：LED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面板技术：IPS液晶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亮度（面板规格）：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300cd/m2 （典型）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对比度：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1000：1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色彩：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1670万色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输入需具备：Y/C输入，RGB，分量输入，DVI-D 输入，SDI 输入，HD15 输入，外部同步输入，串行远程控制 (LAN)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bookmarkStart w:id="0" w:name="OLE_LINK1"/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DC 输入</w:t>
            </w:r>
            <w:bookmarkEnd w:id="0"/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输出需具备：DVI-D输出，DC 5V输出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3"/>
              <w:ind w:left="0" w:leftChars="0" w:firstLine="0" w:firstLineChars="0"/>
              <w:jc w:val="left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二、其他要求：</w:t>
            </w:r>
          </w:p>
          <w:p>
            <w:pPr>
              <w:widowControl/>
              <w:jc w:val="left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1.电源要求：100-240V ， 50-60Hz ， 0.6-0.3A</w:t>
            </w:r>
          </w:p>
          <w:p>
            <w:pP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2.交流适配器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3.功耗：</w:t>
            </w: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≤80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W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配置要求：</w:t>
            </w:r>
          </w:p>
          <w:p>
            <w:pPr>
              <w:pStyle w:val="16"/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主机1台</w:t>
            </w:r>
          </w:p>
          <w:p>
            <w:pPr>
              <w:pStyle w:val="16"/>
              <w:numPr>
                <w:ilvl w:val="0"/>
                <w:numId w:val="3"/>
              </w:numPr>
              <w:ind w:left="425" w:leftChars="0" w:hanging="425" w:firstLineChars="0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交流电源电缆线夹2个</w:t>
            </w:r>
          </w:p>
          <w:p>
            <w:pPr>
              <w:pStyle w:val="16"/>
              <w:numPr>
                <w:ilvl w:val="0"/>
                <w:numId w:val="3"/>
              </w:numPr>
              <w:ind w:left="425" w:leftChars="0" w:hanging="425" w:firstLineChars="0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交流电源电缆1条</w:t>
            </w:r>
          </w:p>
          <w:p>
            <w:pPr>
              <w:pStyle w:val="16"/>
              <w:numPr>
                <w:ilvl w:val="0"/>
                <w:numId w:val="3"/>
              </w:numPr>
              <w:ind w:left="425" w:leftChars="0" w:hanging="425" w:firstLineChars="0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使用说明 1本</w:t>
            </w:r>
          </w:p>
          <w:p>
            <w:pPr>
              <w:pStyle w:val="2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维保要求：中标供应商须提供设备原厂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 xml:space="preserve">质保（设备原厂质量保修范围和保修期）至少为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</w:rPr>
              <w:t xml:space="preserve"> 年。</w:t>
            </w:r>
            <w:bookmarkStart w:id="1" w:name="_GoBack"/>
            <w:bookmarkEnd w:id="1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黑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6F8BA"/>
    <w:multiLevelType w:val="singleLevel"/>
    <w:tmpl w:val="0036F8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0F230C1"/>
    <w:multiLevelType w:val="singleLevel"/>
    <w:tmpl w:val="50F230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AE3387F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Pa16"/>
    <w:basedOn w:val="1"/>
    <w:next w:val="1"/>
    <w:qFormat/>
    <w:uiPriority w:val="0"/>
    <w:pPr>
      <w:autoSpaceDE w:val="0"/>
      <w:autoSpaceDN w:val="0"/>
      <w:adjustRightInd w:val="0"/>
      <w:spacing w:line="101" w:lineRule="atLeast"/>
      <w:jc w:val="left"/>
    </w:pPr>
    <w:rPr>
      <w:rFonts w:ascii="华文黑体" w:eastAsia="华文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2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2023-06-26T02:20:07Z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B94E94D6025C4746A4A2D68762F3C615_13</vt:lpwstr>
  </property>
</Properties>
</file>