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报价资料包括：</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（1）报价单</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（2）偏离表</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（3）法定代表人证明书及其授权委托书</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（4）厂家资质证件（包括但不限于营业执照、医疗器械生产许可证等）</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（5）各级经销商资质证件（包括但不限于营业执照、医疗器械经营许可证、备案等）</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（6）产品医疗器械注册证</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（7）供应商提供承诺函，该承诺函包括但不限于以下内容:承诺中标后须在中标公告发布之日起五个工作日内提供设备制造厂商开具并盖章的合法有效的针对本项目的授权函盖鲜章原件、厂家售后服务承诺函原件</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（8）供应商售后服务承诺函</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（9）产品配置清单</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（10）产品彩页</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（11）试剂耗材询价情况一览表（额外再发一份该表的word文档形式的到邮箱）</w:t>
      </w:r>
    </w:p>
    <w:p>
      <w:pPr>
        <w:jc w:val="center"/>
        <w:rPr>
          <w:rFonts w:hint="eastAsia"/>
          <w:color w:val="auto"/>
          <w:sz w:val="44"/>
          <w:szCs w:val="44"/>
          <w:lang w:val="en-US" w:eastAsia="zh-CN"/>
        </w:rPr>
      </w:pPr>
    </w:p>
    <w:p>
      <w:pPr>
        <w:pStyle w:val="2"/>
        <w:rPr>
          <w:rFonts w:hint="eastAsia"/>
          <w:lang w:val="en-US" w:eastAsia="zh-CN"/>
        </w:rPr>
      </w:pPr>
    </w:p>
    <w:p>
      <w:pPr>
        <w:jc w:val="center"/>
        <w:rPr>
          <w:rFonts w:hint="eastAsia"/>
          <w:color w:val="auto"/>
          <w:sz w:val="44"/>
          <w:szCs w:val="44"/>
          <w:lang w:val="en-US" w:eastAsia="zh-CN"/>
        </w:rPr>
      </w:pPr>
    </w:p>
    <w:p>
      <w:pPr>
        <w:jc w:val="center"/>
        <w:rPr>
          <w:rFonts w:hint="eastAsia"/>
          <w:color w:val="auto"/>
          <w:sz w:val="44"/>
          <w:szCs w:val="44"/>
          <w:lang w:val="en-US" w:eastAsia="zh-CN"/>
        </w:rPr>
      </w:pPr>
    </w:p>
    <w:p>
      <w:pPr>
        <w:jc w:val="center"/>
        <w:rPr>
          <w:rFonts w:hint="eastAsia"/>
          <w:color w:val="auto"/>
          <w:sz w:val="44"/>
          <w:szCs w:val="44"/>
          <w:lang w:val="en-US" w:eastAsia="zh-CN"/>
        </w:rPr>
      </w:pPr>
    </w:p>
    <w:p>
      <w:pPr>
        <w:jc w:val="both"/>
        <w:rPr>
          <w:rFonts w:hint="eastAsia"/>
          <w:color w:val="auto"/>
          <w:sz w:val="44"/>
          <w:szCs w:val="44"/>
          <w:lang w:val="en-US" w:eastAsia="zh-CN"/>
        </w:rPr>
      </w:pPr>
    </w:p>
    <w:p>
      <w:pPr>
        <w:jc w:val="center"/>
        <w:rPr>
          <w:rFonts w:hint="eastAsia"/>
          <w:color w:val="auto"/>
          <w:sz w:val="44"/>
          <w:szCs w:val="44"/>
          <w:lang w:val="en-US" w:eastAsia="zh-CN"/>
        </w:rPr>
      </w:pPr>
      <w:r>
        <w:rPr>
          <w:rFonts w:hint="eastAsia"/>
          <w:color w:val="auto"/>
          <w:sz w:val="44"/>
          <w:szCs w:val="44"/>
          <w:lang w:val="en-US" w:eastAsia="zh-CN"/>
        </w:rPr>
        <w:t>报价单</w:t>
      </w:r>
    </w:p>
    <w:p>
      <w:pPr>
        <w:rPr>
          <w:rFonts w:hint="eastAsia"/>
          <w:color w:val="auto"/>
          <w:lang w:val="en-US" w:eastAsia="zh-CN"/>
        </w:rPr>
      </w:pPr>
    </w:p>
    <w:p>
      <w:pPr>
        <w:rPr>
          <w:rFonts w:hint="eastAsia"/>
          <w:color w:val="auto"/>
          <w:sz w:val="28"/>
          <w:szCs w:val="28"/>
          <w:lang w:val="en-US" w:eastAsia="zh-CN"/>
        </w:rPr>
      </w:pPr>
      <w:r>
        <w:rPr>
          <w:rFonts w:hint="eastAsia"/>
          <w:color w:val="auto"/>
          <w:sz w:val="28"/>
          <w:szCs w:val="28"/>
          <w:lang w:val="en-US" w:eastAsia="zh-CN"/>
        </w:rPr>
        <w:t>致中山市小榄人民医院：</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4"/>
        <w:gridCol w:w="5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vertAlign w:val="baseline"/>
                <w:lang w:val="en-US" w:eastAsia="zh-CN"/>
              </w:rPr>
            </w:pPr>
            <w:r>
              <w:rPr>
                <w:rFonts w:hint="eastAsia"/>
                <w:color w:val="auto"/>
                <w:sz w:val="28"/>
                <w:szCs w:val="28"/>
                <w:vertAlign w:val="baseline"/>
                <w:lang w:val="en-US" w:eastAsia="zh-CN"/>
              </w:rPr>
              <w:t>设备名称</w:t>
            </w:r>
          </w:p>
        </w:tc>
        <w:tc>
          <w:tcPr>
            <w:tcW w:w="5888" w:type="dxa"/>
          </w:tcPr>
          <w:p>
            <w:pPr>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vertAlign w:val="baseline"/>
                <w:lang w:val="en-US" w:eastAsia="zh-CN"/>
              </w:rPr>
            </w:pPr>
            <w:r>
              <w:rPr>
                <w:rFonts w:hint="eastAsia"/>
                <w:color w:val="auto"/>
                <w:sz w:val="28"/>
                <w:szCs w:val="28"/>
                <w:vertAlign w:val="baseline"/>
                <w:lang w:val="en-US" w:eastAsia="zh-CN"/>
              </w:rPr>
              <w:t>设备型号</w:t>
            </w:r>
          </w:p>
        </w:tc>
        <w:tc>
          <w:tcPr>
            <w:tcW w:w="5888" w:type="dxa"/>
          </w:tcPr>
          <w:p>
            <w:pPr>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vertAlign w:val="baseline"/>
                <w:lang w:val="en-US" w:eastAsia="zh-CN"/>
              </w:rPr>
            </w:pPr>
            <w:r>
              <w:rPr>
                <w:rFonts w:hint="eastAsia"/>
                <w:color w:val="auto"/>
                <w:sz w:val="28"/>
                <w:szCs w:val="28"/>
                <w:vertAlign w:val="baseline"/>
                <w:lang w:val="en-US" w:eastAsia="zh-CN"/>
              </w:rPr>
              <w:t>厂家/品牌</w:t>
            </w:r>
          </w:p>
        </w:tc>
        <w:tc>
          <w:tcPr>
            <w:tcW w:w="5888" w:type="dxa"/>
          </w:tcPr>
          <w:p>
            <w:pPr>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vertAlign w:val="baseline"/>
                <w:lang w:val="en-US" w:eastAsia="zh-CN"/>
              </w:rPr>
            </w:pPr>
            <w:r>
              <w:rPr>
                <w:rFonts w:hint="eastAsia"/>
                <w:color w:val="auto"/>
                <w:sz w:val="28"/>
                <w:szCs w:val="28"/>
                <w:vertAlign w:val="baseline"/>
                <w:lang w:val="en-US" w:eastAsia="zh-CN"/>
              </w:rPr>
              <w:t>产地</w:t>
            </w:r>
          </w:p>
        </w:tc>
        <w:tc>
          <w:tcPr>
            <w:tcW w:w="5888" w:type="dxa"/>
          </w:tcPr>
          <w:p>
            <w:pPr>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vertAlign w:val="baseline"/>
                <w:lang w:val="en-US" w:eastAsia="zh-CN"/>
              </w:rPr>
            </w:pPr>
            <w:r>
              <w:rPr>
                <w:rFonts w:hint="eastAsia"/>
                <w:color w:val="auto"/>
                <w:sz w:val="28"/>
                <w:szCs w:val="28"/>
                <w:vertAlign w:val="baseline"/>
                <w:lang w:val="en-US" w:eastAsia="zh-CN"/>
              </w:rPr>
              <w:t>质保期</w:t>
            </w:r>
          </w:p>
        </w:tc>
        <w:tc>
          <w:tcPr>
            <w:tcW w:w="5888" w:type="dxa"/>
          </w:tcPr>
          <w:p>
            <w:pPr>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vertAlign w:val="baseline"/>
                <w:lang w:val="en-US" w:eastAsia="zh-CN"/>
              </w:rPr>
            </w:pPr>
            <w:r>
              <w:rPr>
                <w:rFonts w:hint="eastAsia"/>
                <w:color w:val="auto"/>
                <w:sz w:val="28"/>
                <w:szCs w:val="28"/>
                <w:vertAlign w:val="baseline"/>
                <w:lang w:val="en-US" w:eastAsia="zh-CN"/>
              </w:rPr>
              <w:t>数量/单位</w:t>
            </w:r>
          </w:p>
        </w:tc>
        <w:tc>
          <w:tcPr>
            <w:tcW w:w="5888" w:type="dxa"/>
          </w:tcPr>
          <w:p>
            <w:pPr>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vertAlign w:val="baseline"/>
                <w:lang w:val="en-US" w:eastAsia="zh-CN"/>
              </w:rPr>
            </w:pPr>
            <w:r>
              <w:rPr>
                <w:rFonts w:hint="eastAsia"/>
                <w:color w:val="auto"/>
                <w:sz w:val="28"/>
                <w:szCs w:val="28"/>
                <w:vertAlign w:val="baseline"/>
                <w:lang w:val="en-US" w:eastAsia="zh-CN"/>
              </w:rPr>
              <w:t>单价（元）</w:t>
            </w:r>
          </w:p>
        </w:tc>
        <w:tc>
          <w:tcPr>
            <w:tcW w:w="5888" w:type="dxa"/>
          </w:tcPr>
          <w:p>
            <w:pPr>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vertAlign w:val="baseline"/>
                <w:lang w:val="en-US" w:eastAsia="zh-CN"/>
              </w:rPr>
            </w:pPr>
            <w:r>
              <w:rPr>
                <w:rFonts w:hint="eastAsia"/>
                <w:color w:val="auto"/>
                <w:sz w:val="28"/>
                <w:szCs w:val="28"/>
                <w:vertAlign w:val="baseline"/>
                <w:lang w:val="en-US" w:eastAsia="zh-CN"/>
              </w:rPr>
              <w:t>总价（元）</w:t>
            </w:r>
          </w:p>
        </w:tc>
        <w:tc>
          <w:tcPr>
            <w:tcW w:w="5888" w:type="dxa"/>
          </w:tcPr>
          <w:p>
            <w:pPr>
              <w:rPr>
                <w:rFonts w:hint="default"/>
                <w:color w:val="auto"/>
                <w:sz w:val="28"/>
                <w:szCs w:val="28"/>
                <w:vertAlign w:val="baseline"/>
                <w:lang w:val="en-US" w:eastAsia="zh-CN"/>
              </w:rPr>
            </w:pPr>
          </w:p>
        </w:tc>
      </w:tr>
    </w:tbl>
    <w:p>
      <w:pPr>
        <w:rPr>
          <w:rFonts w:hint="default"/>
          <w:color w:val="auto"/>
          <w:lang w:val="en-US" w:eastAsia="zh-CN"/>
        </w:rPr>
      </w:pPr>
    </w:p>
    <w:p>
      <w:pPr>
        <w:jc w:val="center"/>
        <w:rPr>
          <w:rFonts w:hint="eastAsia"/>
          <w:color w:val="auto"/>
          <w:sz w:val="28"/>
          <w:szCs w:val="28"/>
          <w:lang w:val="en-US" w:eastAsia="zh-CN"/>
        </w:rPr>
      </w:pPr>
      <w:r>
        <w:rPr>
          <w:rFonts w:hint="eastAsia"/>
          <w:color w:val="auto"/>
          <w:sz w:val="28"/>
          <w:szCs w:val="28"/>
          <w:lang w:val="en-US" w:eastAsia="zh-CN"/>
        </w:rPr>
        <w:t xml:space="preserve">  报价公司（盖章）：</w:t>
      </w:r>
    </w:p>
    <w:p>
      <w:pPr>
        <w:ind w:firstLine="3080" w:firstLineChars="1100"/>
        <w:jc w:val="both"/>
        <w:rPr>
          <w:rFonts w:hint="eastAsia"/>
          <w:color w:val="auto"/>
          <w:sz w:val="28"/>
          <w:szCs w:val="28"/>
          <w:lang w:val="en-US" w:eastAsia="zh-CN"/>
        </w:rPr>
      </w:pPr>
      <w:r>
        <w:rPr>
          <w:rFonts w:hint="eastAsia"/>
          <w:color w:val="auto"/>
          <w:sz w:val="28"/>
          <w:szCs w:val="28"/>
          <w:lang w:val="en-US" w:eastAsia="zh-CN"/>
        </w:rPr>
        <w:t>报价联系人：</w:t>
      </w:r>
    </w:p>
    <w:p>
      <w:pPr>
        <w:ind w:firstLine="3080" w:firstLineChars="1100"/>
        <w:jc w:val="both"/>
        <w:rPr>
          <w:rFonts w:hint="eastAsia"/>
          <w:color w:val="auto"/>
          <w:sz w:val="28"/>
          <w:szCs w:val="28"/>
          <w:lang w:val="en-US" w:eastAsia="zh-CN"/>
        </w:rPr>
      </w:pPr>
      <w:r>
        <w:rPr>
          <w:rFonts w:hint="eastAsia"/>
          <w:color w:val="auto"/>
          <w:sz w:val="28"/>
          <w:szCs w:val="28"/>
          <w:lang w:val="en-US" w:eastAsia="zh-CN"/>
        </w:rPr>
        <w:t>联系方式：</w:t>
      </w:r>
    </w:p>
    <w:p>
      <w:pPr>
        <w:ind w:firstLine="3080" w:firstLineChars="1100"/>
        <w:jc w:val="both"/>
        <w:rPr>
          <w:rFonts w:hint="eastAsia"/>
          <w:color w:val="auto"/>
          <w:sz w:val="28"/>
          <w:szCs w:val="28"/>
          <w:lang w:val="en-US" w:eastAsia="zh-CN"/>
        </w:rPr>
      </w:pPr>
      <w:r>
        <w:rPr>
          <w:rFonts w:hint="eastAsia"/>
          <w:color w:val="auto"/>
          <w:sz w:val="28"/>
          <w:szCs w:val="28"/>
          <w:lang w:val="en-US" w:eastAsia="zh-CN"/>
        </w:rPr>
        <w:t xml:space="preserve">报价时间：  </w:t>
      </w:r>
    </w:p>
    <w:p>
      <w:pPr>
        <w:ind w:firstLine="3080" w:firstLineChars="1100"/>
        <w:jc w:val="both"/>
        <w:rPr>
          <w:rFonts w:hint="eastAsia"/>
          <w:color w:val="auto"/>
          <w:sz w:val="28"/>
          <w:szCs w:val="28"/>
          <w:lang w:val="en-US" w:eastAsia="zh-CN"/>
        </w:rPr>
      </w:pPr>
    </w:p>
    <w:p>
      <w:pPr>
        <w:ind w:firstLine="3080" w:firstLineChars="1100"/>
        <w:jc w:val="both"/>
        <w:rPr>
          <w:rFonts w:hint="eastAsia"/>
          <w:color w:val="auto"/>
          <w:sz w:val="28"/>
          <w:szCs w:val="28"/>
          <w:lang w:val="en-US" w:eastAsia="zh-CN"/>
        </w:rPr>
      </w:pPr>
    </w:p>
    <w:p>
      <w:pPr>
        <w:ind w:firstLine="3080" w:firstLineChars="1100"/>
        <w:jc w:val="both"/>
        <w:rPr>
          <w:rFonts w:hint="eastAsia"/>
          <w:color w:val="auto"/>
          <w:sz w:val="28"/>
          <w:szCs w:val="28"/>
          <w:lang w:val="en-US" w:eastAsia="zh-CN"/>
        </w:rPr>
      </w:pPr>
    </w:p>
    <w:p>
      <w:pPr>
        <w:ind w:firstLine="3080" w:firstLineChars="1100"/>
        <w:jc w:val="both"/>
        <w:rPr>
          <w:rFonts w:hint="eastAsia"/>
          <w:color w:val="auto"/>
          <w:sz w:val="28"/>
          <w:szCs w:val="28"/>
          <w:lang w:val="en-US" w:eastAsia="zh-CN"/>
        </w:rPr>
      </w:pPr>
    </w:p>
    <w:p>
      <w:pPr>
        <w:ind w:firstLine="3080" w:firstLineChars="1100"/>
        <w:jc w:val="both"/>
        <w:rPr>
          <w:rFonts w:hint="eastAsia"/>
          <w:color w:val="auto"/>
          <w:sz w:val="28"/>
          <w:szCs w:val="28"/>
          <w:lang w:val="en-US" w:eastAsia="zh-CN"/>
        </w:rPr>
      </w:pPr>
    </w:p>
    <w:p>
      <w:pPr>
        <w:pStyle w:val="2"/>
        <w:rPr>
          <w:rFonts w:hint="eastAsia"/>
          <w:lang w:val="en-US" w:eastAsia="zh-CN"/>
        </w:rPr>
      </w:pPr>
    </w:p>
    <w:p>
      <w:pPr>
        <w:ind w:firstLine="3080" w:firstLineChars="1100"/>
        <w:jc w:val="both"/>
        <w:rPr>
          <w:rFonts w:hint="eastAsia"/>
          <w:color w:val="auto"/>
          <w:sz w:val="28"/>
          <w:szCs w:val="28"/>
          <w:lang w:val="en-US" w:eastAsia="zh-CN"/>
        </w:rPr>
      </w:pPr>
    </w:p>
    <w:p>
      <w:pPr>
        <w:jc w:val="center"/>
        <w:rPr>
          <w:rFonts w:hint="eastAsia"/>
          <w:b/>
          <w:bCs/>
          <w:color w:val="auto"/>
          <w:sz w:val="30"/>
          <w:szCs w:val="30"/>
          <w:highlight w:val="none"/>
          <w:lang w:val="en-US" w:eastAsia="zh-CN"/>
        </w:rPr>
      </w:pPr>
      <w:r>
        <w:rPr>
          <w:rFonts w:hint="eastAsia"/>
          <w:b/>
          <w:bCs/>
          <w:color w:val="auto"/>
          <w:sz w:val="30"/>
          <w:szCs w:val="30"/>
          <w:highlight w:val="none"/>
          <w:lang w:val="en-US" w:eastAsia="zh-CN"/>
        </w:rPr>
        <w:t>广东省药品电子交易平台耗材信息表（如有）</w:t>
      </w:r>
    </w:p>
    <w:p>
      <w:pPr>
        <w:jc w:val="both"/>
        <w:rPr>
          <w:rFonts w:hint="eastAsia"/>
          <w:color w:val="auto"/>
          <w:sz w:val="28"/>
          <w:szCs w:val="28"/>
          <w:highlight w:val="none"/>
          <w:lang w:val="en-US" w:eastAsia="zh-CN"/>
        </w:rPr>
      </w:pPr>
      <w:r>
        <w:rPr>
          <w:rFonts w:hint="eastAsia"/>
          <w:color w:val="auto"/>
          <w:sz w:val="28"/>
          <w:szCs w:val="28"/>
          <w:highlight w:val="none"/>
          <w:lang w:val="en-US" w:eastAsia="zh-CN"/>
        </w:rPr>
        <w:t>请按广东省药品电子交易平台填写以下信息：</w:t>
      </w:r>
    </w:p>
    <w:tbl>
      <w:tblPr>
        <w:tblStyle w:val="12"/>
        <w:tblW w:w="55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2"/>
        <w:gridCol w:w="983"/>
        <w:gridCol w:w="1084"/>
        <w:gridCol w:w="652"/>
        <w:gridCol w:w="898"/>
        <w:gridCol w:w="583"/>
        <w:gridCol w:w="567"/>
        <w:gridCol w:w="1359"/>
        <w:gridCol w:w="1165"/>
        <w:gridCol w:w="822"/>
        <w:gridCol w:w="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3" w:hRule="atLeast"/>
          <w:jc w:val="center"/>
        </w:trPr>
        <w:tc>
          <w:tcPr>
            <w:tcW w:w="35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7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4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477"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1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0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1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省平台限价（元）</w:t>
            </w:r>
          </w:p>
        </w:tc>
        <w:tc>
          <w:tcPr>
            <w:tcW w:w="43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报价（元）</w:t>
            </w:r>
          </w:p>
        </w:tc>
        <w:tc>
          <w:tcPr>
            <w:tcW w:w="33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3" w:hRule="atLeast"/>
          <w:jc w:val="center"/>
        </w:trPr>
        <w:tc>
          <w:tcPr>
            <w:tcW w:w="352"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7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4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47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1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0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19"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37"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9.00</w:t>
            </w:r>
          </w:p>
        </w:tc>
        <w:tc>
          <w:tcPr>
            <w:tcW w:w="33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5" w:hRule="atLeast"/>
          <w:jc w:val="center"/>
        </w:trPr>
        <w:tc>
          <w:tcPr>
            <w:tcW w:w="352"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2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76"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4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7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10"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19"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3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2" w:type="pct"/>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2" w:hRule="atLeast"/>
          <w:jc w:val="center"/>
        </w:trPr>
        <w:tc>
          <w:tcPr>
            <w:tcW w:w="352"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2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76"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4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7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10"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19"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3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2" w:type="pct"/>
            <w:shd w:val="clear" w:color="auto" w:fill="auto"/>
            <w:noWrap/>
            <w:vAlign w:val="center"/>
          </w:tcPr>
          <w:p>
            <w:pPr>
              <w:rPr>
                <w:rFonts w:hint="eastAsia" w:ascii="宋体" w:hAnsi="宋体" w:eastAsia="宋体" w:cs="宋体"/>
                <w:i w:val="0"/>
                <w:iCs w:val="0"/>
                <w:color w:val="000000"/>
                <w:sz w:val="18"/>
                <w:szCs w:val="18"/>
                <w:u w:val="none"/>
              </w:rPr>
            </w:pPr>
          </w:p>
        </w:tc>
      </w:tr>
    </w:tbl>
    <w:p>
      <w:pPr>
        <w:jc w:val="center"/>
        <w:rPr>
          <w:rFonts w:hint="eastAsia"/>
          <w:color w:val="auto"/>
          <w:sz w:val="28"/>
          <w:szCs w:val="28"/>
          <w:highlight w:val="none"/>
          <w:lang w:val="en-US" w:eastAsia="zh-CN"/>
        </w:rPr>
      </w:pPr>
      <w:r>
        <w:rPr>
          <w:rFonts w:hint="eastAsia"/>
          <w:color w:val="auto"/>
          <w:sz w:val="28"/>
          <w:szCs w:val="28"/>
          <w:highlight w:val="none"/>
          <w:lang w:val="en-US" w:eastAsia="zh-CN"/>
        </w:rPr>
        <w:t>报价公司（盖章）：</w:t>
      </w:r>
    </w:p>
    <w:p>
      <w:pPr>
        <w:ind w:firstLine="3080" w:firstLineChars="1100"/>
        <w:jc w:val="both"/>
        <w:rPr>
          <w:rFonts w:hint="eastAsia"/>
          <w:color w:val="auto"/>
          <w:sz w:val="28"/>
          <w:szCs w:val="28"/>
          <w:highlight w:val="none"/>
          <w:lang w:val="en-US" w:eastAsia="zh-CN"/>
        </w:rPr>
      </w:pPr>
      <w:r>
        <w:rPr>
          <w:rFonts w:hint="eastAsia"/>
          <w:color w:val="auto"/>
          <w:sz w:val="28"/>
          <w:szCs w:val="28"/>
          <w:highlight w:val="none"/>
          <w:lang w:val="en-US" w:eastAsia="zh-CN"/>
        </w:rPr>
        <w:t>报价联系人：</w:t>
      </w:r>
    </w:p>
    <w:p>
      <w:pPr>
        <w:ind w:firstLine="3080" w:firstLineChars="1100"/>
        <w:jc w:val="both"/>
        <w:rPr>
          <w:rFonts w:hint="eastAsia"/>
          <w:color w:val="auto"/>
          <w:sz w:val="28"/>
          <w:szCs w:val="28"/>
          <w:highlight w:val="none"/>
          <w:lang w:val="en-US" w:eastAsia="zh-CN"/>
        </w:rPr>
      </w:pPr>
      <w:r>
        <w:rPr>
          <w:rFonts w:hint="eastAsia"/>
          <w:color w:val="auto"/>
          <w:sz w:val="28"/>
          <w:szCs w:val="28"/>
          <w:highlight w:val="none"/>
          <w:lang w:val="en-US" w:eastAsia="zh-CN"/>
        </w:rPr>
        <w:t>联系方式：</w:t>
      </w:r>
    </w:p>
    <w:p>
      <w:pPr>
        <w:ind w:firstLine="3080" w:firstLineChars="1100"/>
        <w:jc w:val="both"/>
        <w:rPr>
          <w:rFonts w:hint="eastAsia"/>
          <w:color w:val="auto"/>
          <w:sz w:val="28"/>
          <w:szCs w:val="28"/>
          <w:highlight w:val="none"/>
          <w:lang w:val="en-US" w:eastAsia="zh-CN"/>
        </w:rPr>
      </w:pPr>
      <w:r>
        <w:rPr>
          <w:rFonts w:hint="eastAsia"/>
          <w:color w:val="auto"/>
          <w:sz w:val="28"/>
          <w:szCs w:val="28"/>
          <w:highlight w:val="none"/>
          <w:lang w:val="en-US" w:eastAsia="zh-CN"/>
        </w:rPr>
        <w:t xml:space="preserve">报价时间：  </w:t>
      </w:r>
    </w:p>
    <w:p>
      <w:pPr>
        <w:jc w:val="both"/>
        <w:rPr>
          <w:rFonts w:hint="default"/>
          <w:color w:val="auto"/>
          <w:sz w:val="28"/>
          <w:szCs w:val="28"/>
          <w:lang w:val="en-US" w:eastAsia="zh-CN"/>
        </w:rPr>
      </w:pPr>
    </w:p>
    <w:p>
      <w:pPr>
        <w:pStyle w:val="2"/>
        <w:rPr>
          <w:rFonts w:hint="default"/>
          <w:color w:val="auto"/>
          <w:sz w:val="28"/>
          <w:szCs w:val="28"/>
          <w:lang w:val="en-US" w:eastAsia="zh-CN"/>
        </w:rPr>
      </w:pPr>
    </w:p>
    <w:p>
      <w:pPr>
        <w:pStyle w:val="2"/>
        <w:rPr>
          <w:rFonts w:hint="default"/>
          <w:color w:val="auto"/>
          <w:sz w:val="28"/>
          <w:szCs w:val="28"/>
          <w:lang w:val="en-US" w:eastAsia="zh-CN"/>
        </w:rPr>
      </w:pPr>
    </w:p>
    <w:p>
      <w:pPr>
        <w:pStyle w:val="2"/>
        <w:rPr>
          <w:rFonts w:hint="default"/>
          <w:color w:val="auto"/>
          <w:sz w:val="28"/>
          <w:szCs w:val="28"/>
          <w:lang w:val="en-US" w:eastAsia="zh-CN"/>
        </w:rPr>
      </w:pPr>
    </w:p>
    <w:p>
      <w:pPr>
        <w:pStyle w:val="2"/>
        <w:rPr>
          <w:rFonts w:hint="default"/>
          <w:color w:val="auto"/>
          <w:sz w:val="28"/>
          <w:szCs w:val="28"/>
          <w:lang w:val="en-US" w:eastAsia="zh-CN"/>
        </w:rPr>
      </w:pPr>
    </w:p>
    <w:p>
      <w:pPr>
        <w:pStyle w:val="2"/>
        <w:rPr>
          <w:rFonts w:hint="default"/>
          <w:color w:val="auto"/>
          <w:sz w:val="28"/>
          <w:szCs w:val="28"/>
          <w:lang w:val="en-US" w:eastAsia="zh-CN"/>
        </w:rPr>
      </w:pPr>
    </w:p>
    <w:p>
      <w:pPr>
        <w:jc w:val="both"/>
        <w:rPr>
          <w:rFonts w:hint="default"/>
          <w:color w:val="auto"/>
          <w:sz w:val="28"/>
          <w:szCs w:val="28"/>
          <w:lang w:val="en-US" w:eastAsia="zh-CN"/>
        </w:rPr>
      </w:pPr>
    </w:p>
    <w:p>
      <w:pPr>
        <w:jc w:val="both"/>
        <w:rPr>
          <w:rFonts w:hint="default"/>
          <w:color w:val="auto"/>
          <w:sz w:val="28"/>
          <w:szCs w:val="28"/>
          <w:lang w:val="en-US" w:eastAsia="zh-CN"/>
        </w:rPr>
      </w:pPr>
    </w:p>
    <w:p>
      <w:pPr>
        <w:jc w:val="both"/>
        <w:rPr>
          <w:rFonts w:hint="default"/>
          <w:color w:val="auto"/>
          <w:sz w:val="28"/>
          <w:szCs w:val="28"/>
          <w:lang w:val="en-US" w:eastAsia="zh-CN"/>
        </w:rPr>
      </w:pPr>
    </w:p>
    <w:p>
      <w:pPr>
        <w:jc w:val="both"/>
        <w:rPr>
          <w:rFonts w:hint="default"/>
          <w:color w:val="auto"/>
          <w:sz w:val="28"/>
          <w:szCs w:val="28"/>
          <w:lang w:val="en-US" w:eastAsia="zh-CN"/>
        </w:rPr>
      </w:pPr>
    </w:p>
    <w:p>
      <w:pPr>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参数偏离情况报</w:t>
      </w:r>
    </w:p>
    <w:p>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填写要求：</w:t>
      </w:r>
    </w:p>
    <w:p>
      <w:pPr>
        <w:numPr>
          <w:ilvl w:val="0"/>
          <w:numId w:val="1"/>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请按用户需求的要求逐条响应，正负偏离参数请备注说明。</w:t>
      </w:r>
    </w:p>
    <w:p>
      <w:pPr>
        <w:numPr>
          <w:ilvl w:val="0"/>
          <w:numId w:val="1"/>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其中带</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的参数是必须完全响应的参数。</w:t>
      </w:r>
    </w:p>
    <w:p>
      <w:pPr>
        <w:numPr>
          <w:ilvl w:val="0"/>
          <w:numId w:val="1"/>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所投产品的参数满足率≥90％方视为满足需求的合格产品。</w:t>
      </w:r>
    </w:p>
    <w:p>
      <w:pPr>
        <w:numPr>
          <w:ilvl w:val="0"/>
          <w:numId w:val="2"/>
        </w:num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技术要求：（请按用户需求里的技术要求及配置要求逐条响应）</w:t>
      </w:r>
    </w:p>
    <w:tbl>
      <w:tblPr>
        <w:tblStyle w:val="13"/>
        <w:tblW w:w="8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4900"/>
        <w:gridCol w:w="1250"/>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技术参数项目</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完全响应或正/负偏离</w:t>
            </w: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Cs w:val="21"/>
                <w:highlight w:val="none"/>
              </w:rPr>
              <w:t>★检测方法：杂交法。</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Cs w:val="21"/>
                <w:highlight w:val="none"/>
              </w:rPr>
              <w:t>★检测平台开展</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项目至少可应用于</w:t>
            </w:r>
            <w:r>
              <w:rPr>
                <w:rFonts w:hint="eastAsia" w:ascii="宋体" w:hAnsi="宋体" w:eastAsia="宋体" w:cs="宋体"/>
                <w:color w:val="auto"/>
                <w:szCs w:val="21"/>
                <w:highlight w:val="none"/>
                <w:lang w:val="en-US" w:eastAsia="zh-CN"/>
              </w:rPr>
              <w:t>HPV基因分型</w:t>
            </w:r>
            <w:r>
              <w:rPr>
                <w:rFonts w:hint="eastAsia" w:ascii="宋体" w:hAnsi="宋体" w:eastAsia="宋体" w:cs="宋体"/>
                <w:color w:val="auto"/>
                <w:szCs w:val="21"/>
                <w:highlight w:val="none"/>
              </w:rPr>
              <w:t>检测。</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Cs w:val="21"/>
                <w:highlight w:val="none"/>
                <w:lang w:val="en-US" w:eastAsia="zh-CN"/>
              </w:rPr>
              <w:t>支持检测HPV基因分型</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1种及</w:t>
            </w:r>
            <w:r>
              <w:rPr>
                <w:rFonts w:hint="eastAsia" w:ascii="宋体" w:hAnsi="宋体" w:eastAsia="宋体" w:cs="宋体"/>
                <w:color w:val="auto"/>
                <w:szCs w:val="21"/>
                <w:highlight w:val="none"/>
              </w:rPr>
              <w:t>以上，</w:t>
            </w:r>
            <w:r>
              <w:rPr>
                <w:rFonts w:hint="eastAsia" w:ascii="宋体" w:hAnsi="宋体" w:eastAsia="宋体" w:cs="宋体"/>
                <w:color w:val="auto"/>
                <w:szCs w:val="21"/>
                <w:highlight w:val="none"/>
                <w:lang w:val="en-US" w:eastAsia="zh-CN"/>
              </w:rPr>
              <w:t>其中</w:t>
            </w:r>
            <w:r>
              <w:rPr>
                <w:rFonts w:hint="eastAsia" w:ascii="宋体" w:hAnsi="宋体" w:eastAsia="宋体" w:cs="宋体"/>
                <w:color w:val="auto"/>
                <w:szCs w:val="21"/>
                <w:highlight w:val="none"/>
              </w:rPr>
              <w:t>HPV高危亚型：HPV16、18、31、33、35、39、45、51、52、56、58、59、68亚型</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HPV低危亚型：HPV6、11、42、43、44亚型</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HPV其他亚型：HPV53、66、CP8304亚型。</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Cs w:val="21"/>
                <w:highlight w:val="none"/>
                <w:lang w:val="en-US" w:eastAsia="zh-CN"/>
              </w:rPr>
              <w:t>支持自动化判读；搭配智能判读软件，实现AI智慧判读。</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Cs w:val="21"/>
                <w:highlight w:val="none"/>
              </w:rPr>
              <w:t>样本容量：</w:t>
            </w:r>
            <w:r>
              <w:rPr>
                <w:rFonts w:hint="eastAsia" w:ascii="宋体" w:hAnsi="宋体" w:eastAsia="宋体" w:cs="宋体"/>
                <w:color w:val="auto"/>
                <w:szCs w:val="21"/>
                <w:highlight w:val="none"/>
                <w:lang w:val="en-US" w:eastAsia="zh-CN"/>
              </w:rPr>
              <w:t>支持</w:t>
            </w:r>
            <w:r>
              <w:rPr>
                <w:rFonts w:hint="eastAsia" w:ascii="宋体" w:hAnsi="宋体" w:eastAsia="宋体" w:cs="宋体"/>
                <w:color w:val="auto"/>
                <w:szCs w:val="21"/>
                <w:highlight w:val="none"/>
              </w:rPr>
              <w:t>随到随检，无需</w:t>
            </w:r>
            <w:r>
              <w:rPr>
                <w:rFonts w:hint="eastAsia" w:ascii="宋体" w:hAnsi="宋体" w:eastAsia="宋体" w:cs="宋体"/>
                <w:color w:val="auto"/>
                <w:szCs w:val="21"/>
                <w:highlight w:val="none"/>
                <w:lang w:val="en-US" w:eastAsia="zh-CN"/>
              </w:rPr>
              <w:t>积攒标本</w:t>
            </w:r>
            <w:r>
              <w:rPr>
                <w:rFonts w:hint="eastAsia" w:ascii="宋体" w:hAnsi="宋体" w:eastAsia="宋体" w:cs="宋体"/>
                <w:color w:val="auto"/>
                <w:szCs w:val="21"/>
                <w:highlight w:val="none"/>
              </w:rPr>
              <w:t>才</w:t>
            </w:r>
            <w:r>
              <w:rPr>
                <w:rFonts w:hint="eastAsia" w:ascii="宋体" w:hAnsi="宋体" w:eastAsia="宋体" w:cs="宋体"/>
                <w:color w:val="auto"/>
                <w:szCs w:val="21"/>
                <w:highlight w:val="none"/>
                <w:lang w:val="en-US" w:eastAsia="zh-CN"/>
              </w:rPr>
              <w:t>能</w:t>
            </w:r>
            <w:r>
              <w:rPr>
                <w:rFonts w:hint="eastAsia" w:ascii="宋体" w:hAnsi="宋体" w:eastAsia="宋体" w:cs="宋体"/>
                <w:color w:val="auto"/>
                <w:szCs w:val="21"/>
                <w:highlight w:val="none"/>
              </w:rPr>
              <w:t>开机检测。</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Cs w:val="21"/>
                <w:highlight w:val="none"/>
                <w:lang w:val="en-US" w:eastAsia="zh-CN"/>
              </w:rPr>
              <w:t>支持单人份膜条，避免裁剪杂交膜条，造成试剂浪费。</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Cs w:val="21"/>
                <w:highlight w:val="none"/>
              </w:rPr>
              <w:t>每份标本独立反应，防止交叉污染。</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Cs w:val="21"/>
                <w:highlight w:val="none"/>
                <w:lang w:val="en-US" w:eastAsia="zh-CN"/>
              </w:rPr>
              <w:t>温控</w:t>
            </w:r>
            <w:r>
              <w:rPr>
                <w:rFonts w:hint="eastAsia" w:ascii="宋体" w:hAnsi="宋体" w:eastAsia="宋体" w:cs="宋体"/>
                <w:color w:val="auto"/>
                <w:szCs w:val="21"/>
                <w:highlight w:val="none"/>
              </w:rPr>
              <w:t>精度： ≤±0.5℃。</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Cs w:val="21"/>
                <w:highlight w:val="none"/>
              </w:rPr>
              <w:t>控温范围： 20℃-55℃。</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Cs w:val="21"/>
                <w:highlight w:val="none"/>
              </w:rPr>
              <w:t>降温速率：≥2.0℃/min。</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Cs w:val="21"/>
                <w:highlight w:val="none"/>
              </w:rPr>
              <w:t>升温速率：≥4.0℃/min。</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Cs w:val="21"/>
                <w:highlight w:val="none"/>
              </w:rPr>
              <w:t>显示精度： ≤0.1℃。</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13</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1"/>
                <w:szCs w:val="21"/>
                <w:highlight w:val="none"/>
                <w:lang w:eastAsia="zh-CN"/>
              </w:rPr>
              <w:t>软件功能：专用配套</w:t>
            </w:r>
            <w:r>
              <w:rPr>
                <w:rFonts w:hint="eastAsia" w:ascii="宋体" w:hAnsi="宋体" w:eastAsia="宋体" w:cs="宋体"/>
                <w:color w:val="auto"/>
                <w:sz w:val="21"/>
                <w:szCs w:val="21"/>
                <w:highlight w:val="none"/>
              </w:rPr>
              <w:t>正版软件与操作系统</w:t>
            </w:r>
            <w:r>
              <w:rPr>
                <w:rFonts w:hint="eastAsia" w:ascii="宋体" w:hAnsi="宋体" w:eastAsia="宋体" w:cs="宋体"/>
                <w:color w:val="auto"/>
                <w:sz w:val="21"/>
                <w:szCs w:val="21"/>
                <w:highlight w:val="none"/>
                <w:lang w:eastAsia="zh-CN"/>
              </w:rPr>
              <w:t>，中文报告及数据处理系统，自动记录检测结果，系统可与医院L</w:t>
            </w:r>
            <w:r>
              <w:rPr>
                <w:rFonts w:hint="eastAsia" w:ascii="宋体" w:hAnsi="宋体" w:eastAsia="宋体" w:cs="宋体"/>
                <w:color w:val="auto"/>
                <w:sz w:val="21"/>
                <w:szCs w:val="21"/>
                <w:highlight w:val="none"/>
                <w:lang w:val="en-US" w:eastAsia="zh-CN"/>
              </w:rPr>
              <w:t>IS</w:t>
            </w:r>
            <w:r>
              <w:rPr>
                <w:rFonts w:hint="eastAsia" w:ascii="宋体" w:hAnsi="宋体" w:eastAsia="宋体" w:cs="宋体"/>
                <w:color w:val="auto"/>
                <w:sz w:val="21"/>
                <w:szCs w:val="21"/>
                <w:highlight w:val="none"/>
                <w:lang w:eastAsia="zh-CN"/>
              </w:rPr>
              <w:t>系统对接，具有数据导出功能。软件终身</w:t>
            </w:r>
            <w:r>
              <w:rPr>
                <w:rFonts w:hint="eastAsia" w:ascii="宋体" w:hAnsi="宋体" w:eastAsia="宋体" w:cs="宋体"/>
                <w:color w:val="auto"/>
                <w:sz w:val="21"/>
                <w:szCs w:val="21"/>
                <w:highlight w:val="none"/>
                <w:lang w:val="en-US" w:eastAsia="zh-CN"/>
              </w:rPr>
              <w:t>维护</w:t>
            </w:r>
            <w:r>
              <w:rPr>
                <w:rFonts w:hint="eastAsia" w:ascii="宋体" w:hAnsi="宋体" w:eastAsia="宋体" w:cs="宋体"/>
                <w:color w:val="auto"/>
                <w:sz w:val="21"/>
                <w:szCs w:val="21"/>
                <w:highlight w:val="none"/>
                <w:lang w:eastAsia="zh-CN"/>
              </w:rPr>
              <w:t>升级，</w:t>
            </w:r>
            <w:r>
              <w:rPr>
                <w:rFonts w:hint="eastAsia" w:ascii="宋体" w:hAnsi="宋体" w:eastAsia="宋体" w:cs="宋体"/>
                <w:color w:val="auto"/>
                <w:szCs w:val="21"/>
                <w:highlight w:val="none"/>
                <w:lang w:val="en-US" w:eastAsia="zh-CN"/>
              </w:rPr>
              <w:t>所需</w:t>
            </w:r>
            <w:r>
              <w:rPr>
                <w:rFonts w:hint="eastAsia" w:ascii="宋体" w:hAnsi="宋体" w:eastAsia="宋体" w:cs="宋体"/>
                <w:szCs w:val="21"/>
                <w:highlight w:val="none"/>
                <w:lang w:eastAsia="zh-CN"/>
              </w:rPr>
              <w:t>费用包含在响应报价中</w:t>
            </w:r>
            <w:r>
              <w:rPr>
                <w:rFonts w:hint="eastAsia" w:ascii="宋体" w:hAnsi="宋体" w:eastAsia="宋体" w:cs="宋体"/>
                <w:color w:val="auto"/>
                <w:sz w:val="21"/>
                <w:szCs w:val="21"/>
                <w:highlight w:val="none"/>
                <w:lang w:eastAsia="zh-CN"/>
              </w:rPr>
              <w:t>。</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14</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w:t>
            </w:r>
            <w:r>
              <w:rPr>
                <w:rFonts w:hint="eastAsia"/>
                <w:szCs w:val="21"/>
                <w:highlight w:val="none"/>
              </w:rPr>
              <w:t>每年</w:t>
            </w:r>
            <w:r>
              <w:rPr>
                <w:rFonts w:hint="eastAsia"/>
                <w:color w:val="auto"/>
                <w:szCs w:val="21"/>
                <w:highlight w:val="none"/>
              </w:rPr>
              <w:t>按</w:t>
            </w:r>
            <w:r>
              <w:rPr>
                <w:rFonts w:hint="eastAsia"/>
                <w:color w:val="auto"/>
                <w:szCs w:val="21"/>
                <w:highlight w:val="none"/>
                <w:lang w:val="en-US" w:eastAsia="zh-CN"/>
              </w:rPr>
              <w:t>实验室管理要求</w:t>
            </w:r>
            <w:r>
              <w:rPr>
                <w:rFonts w:hint="eastAsia" w:ascii="宋体" w:hAnsi="宋体" w:eastAsia="宋体" w:cs="宋体"/>
                <w:color w:val="auto"/>
                <w:sz w:val="21"/>
                <w:szCs w:val="21"/>
                <w:highlight w:val="none"/>
              </w:rPr>
              <w:t>对</w:t>
            </w:r>
            <w:r>
              <w:rPr>
                <w:rFonts w:hint="eastAsia" w:ascii="宋体" w:hAnsi="宋体"/>
                <w:color w:val="auto"/>
                <w:szCs w:val="21"/>
                <w:highlight w:val="none"/>
              </w:rPr>
              <w:t>医用核酸分子杂交仪</w:t>
            </w:r>
            <w:r>
              <w:rPr>
                <w:rFonts w:hint="eastAsia" w:ascii="宋体" w:hAnsi="宋体" w:eastAsia="宋体" w:cs="宋体"/>
                <w:color w:val="auto"/>
                <w:sz w:val="21"/>
                <w:szCs w:val="21"/>
                <w:highlight w:val="none"/>
              </w:rPr>
              <w:t>进行校准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满足三级医院等级评审和ISO15189医学实验室认可对</w:t>
            </w:r>
            <w:r>
              <w:rPr>
                <w:rFonts w:hint="eastAsia" w:ascii="宋体" w:hAnsi="宋体" w:eastAsia="宋体" w:cs="宋体"/>
                <w:color w:val="auto"/>
                <w:sz w:val="21"/>
                <w:szCs w:val="21"/>
                <w:highlight w:val="none"/>
                <w:lang w:eastAsia="zh-CN"/>
              </w:rPr>
              <w:t>质量</w:t>
            </w:r>
            <w:r>
              <w:rPr>
                <w:rFonts w:hint="eastAsia" w:ascii="宋体" w:hAnsi="宋体" w:eastAsia="宋体" w:cs="宋体"/>
                <w:color w:val="auto"/>
                <w:sz w:val="21"/>
                <w:szCs w:val="21"/>
                <w:highlight w:val="none"/>
              </w:rPr>
              <w:t>管理的相关要求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若因仪器性能不佳导致无法满足实验室质量要求时，应适当增加校准次数，保证仪器的正常使用</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lang w:val="en-US" w:eastAsia="zh-CN"/>
              </w:rPr>
              <w:t>所需费用包含在响应价中</w:t>
            </w:r>
            <w:r>
              <w:rPr>
                <w:rFonts w:hint="eastAsia" w:ascii="宋体" w:hAnsi="宋体" w:eastAsia="宋体" w:cs="宋体"/>
                <w:color w:val="auto"/>
                <w:szCs w:val="21"/>
                <w:highlight w:val="none"/>
              </w:rPr>
              <w:t>。</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15</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性能验证：</w:t>
            </w:r>
            <w:r>
              <w:rPr>
                <w:rFonts w:hint="eastAsia" w:ascii="宋体" w:hAnsi="宋体" w:eastAsia="宋体" w:cs="宋体"/>
                <w:color w:val="auto"/>
                <w:szCs w:val="21"/>
                <w:highlight w:val="none"/>
              </w:rPr>
              <w:t>按实验室管理要求完成仪器启用前的性能验证</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所需费用包含在响应价中</w:t>
            </w:r>
            <w:r>
              <w:rPr>
                <w:rFonts w:hint="eastAsia" w:ascii="宋体" w:hAnsi="宋体" w:eastAsia="宋体" w:cs="宋体"/>
                <w:color w:val="auto"/>
                <w:szCs w:val="21"/>
                <w:highlight w:val="none"/>
              </w:rPr>
              <w:t>。</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16</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highlight w:val="none"/>
              </w:rPr>
              <w:t>★</w:t>
            </w:r>
            <w:r>
              <w:rPr>
                <w:rFonts w:hint="eastAsia" w:ascii="宋体" w:hAnsi="宋体" w:eastAsia="宋体" w:cs="宋体"/>
                <w:bCs w:val="0"/>
                <w:color w:val="auto"/>
                <w:spacing w:val="0"/>
                <w:kern w:val="2"/>
                <w:sz w:val="21"/>
                <w:szCs w:val="21"/>
                <w:highlight w:val="none"/>
                <w:lang w:val="en-US" w:eastAsia="zh-CN" w:bidi="ar-SA"/>
              </w:rPr>
              <w:t>试剂和耗材支持：</w:t>
            </w:r>
            <w:r>
              <w:rPr>
                <w:rFonts w:hint="eastAsia" w:ascii="宋体" w:hAnsi="宋体" w:eastAsia="宋体" w:cs="宋体"/>
                <w:color w:val="auto"/>
                <w:sz w:val="21"/>
                <w:szCs w:val="21"/>
                <w:highlight w:val="none"/>
                <w:lang w:val="en-US" w:eastAsia="zh-CN"/>
              </w:rPr>
              <w:t>医用核酸分子杂交仪开展的检测项目</w:t>
            </w:r>
            <w:r>
              <w:rPr>
                <w:rFonts w:hint="eastAsia" w:ascii="宋体" w:hAnsi="宋体" w:eastAsia="宋体" w:cs="宋体"/>
                <w:bCs w:val="0"/>
                <w:color w:val="auto"/>
                <w:spacing w:val="0"/>
                <w:kern w:val="2"/>
                <w:sz w:val="21"/>
                <w:szCs w:val="21"/>
                <w:highlight w:val="none"/>
                <w:lang w:val="en-US" w:eastAsia="zh-CN" w:bidi="ar-SA"/>
              </w:rPr>
              <w:t>，须在《中山市非营利性医疗机构医疗服务价格》现行版本中有明确的物价收费编码，</w:t>
            </w:r>
            <w:r>
              <w:rPr>
                <w:rFonts w:hint="eastAsia" w:ascii="宋体" w:hAnsi="宋体" w:cs="宋体"/>
                <w:bCs w:val="0"/>
                <w:color w:val="auto"/>
                <w:spacing w:val="0"/>
                <w:kern w:val="2"/>
                <w:sz w:val="21"/>
                <w:szCs w:val="21"/>
                <w:highlight w:val="none"/>
                <w:lang w:val="en-US" w:eastAsia="zh-CN" w:bidi="ar-SA"/>
              </w:rPr>
              <w:t>包括但不限于以下项目：人乳头瘤病毒(HPV)核酸分型检测-杂交捕获法，250403066-2/1，301元/项，响应</w:t>
            </w:r>
            <w:r>
              <w:rPr>
                <w:rFonts w:hint="eastAsia" w:ascii="宋体" w:hAnsi="宋体" w:eastAsia="宋体" w:cs="宋体"/>
                <w:bCs w:val="0"/>
                <w:color w:val="auto"/>
                <w:spacing w:val="0"/>
                <w:kern w:val="2"/>
                <w:sz w:val="21"/>
                <w:szCs w:val="21"/>
                <w:highlight w:val="none"/>
                <w:lang w:val="en-US" w:eastAsia="zh-CN" w:bidi="ar-SA"/>
              </w:rPr>
              <w:t>供应商须完整提供仪器设备所需要购买的试剂、消耗性耗材（包括但不限于专用采样管、质控品、定标液、标准品、校准品、清洗液、缓冲液、吸嘴、反应杯或反应板等）、易耗品（包括但不限于加样针、光源、检测池、管路等）等清单，清单内容包括但不限于种类、规格型号、价格等（见《试剂耗材询价情况一览表》），并依据试剂、消耗性耗材的使用量和价格计算出</w:t>
            </w:r>
            <w:r>
              <w:rPr>
                <w:rFonts w:hint="eastAsia" w:ascii="宋体" w:hAnsi="宋体" w:cs="宋体"/>
                <w:bCs w:val="0"/>
                <w:color w:val="auto"/>
                <w:spacing w:val="0"/>
                <w:kern w:val="2"/>
                <w:sz w:val="21"/>
                <w:szCs w:val="21"/>
                <w:highlight w:val="none"/>
                <w:lang w:val="en-US" w:eastAsia="zh-CN" w:bidi="ar-SA"/>
              </w:rPr>
              <w:t>每个项目的</w:t>
            </w:r>
            <w:r>
              <w:rPr>
                <w:rFonts w:hint="eastAsia" w:ascii="宋体" w:hAnsi="宋体" w:eastAsia="宋体" w:cs="宋体"/>
                <w:bCs w:val="0"/>
                <w:color w:val="auto"/>
                <w:spacing w:val="0"/>
                <w:kern w:val="2"/>
                <w:sz w:val="21"/>
                <w:szCs w:val="21"/>
                <w:highlight w:val="none"/>
                <w:lang w:val="en-US" w:eastAsia="zh-CN" w:bidi="ar-SA"/>
              </w:rPr>
              <w:t>每测试单价。响应供应商须对报价真实性和所提供试剂耗材清单完整性负责，</w:t>
            </w:r>
            <w:r>
              <w:rPr>
                <w:rFonts w:hint="default" w:ascii="宋体" w:hAnsi="宋体" w:eastAsia="宋体" w:cs="宋体"/>
                <w:bCs w:val="0"/>
                <w:color w:val="auto"/>
                <w:spacing w:val="0"/>
                <w:kern w:val="2"/>
                <w:sz w:val="21"/>
                <w:szCs w:val="21"/>
                <w:highlight w:val="none"/>
                <w:lang w:val="en-US" w:eastAsia="zh-CN" w:bidi="ar-SA"/>
              </w:rPr>
              <w:t>不同规格的试剂盒单人份报价必须一致</w:t>
            </w:r>
            <w:r>
              <w:rPr>
                <w:rFonts w:hint="eastAsia" w:ascii="宋体" w:hAnsi="宋体" w:eastAsia="宋体" w:cs="宋体"/>
                <w:bCs w:val="0"/>
                <w:color w:val="auto"/>
                <w:spacing w:val="0"/>
                <w:kern w:val="2"/>
                <w:sz w:val="21"/>
                <w:szCs w:val="21"/>
                <w:highlight w:val="none"/>
                <w:lang w:val="en-US" w:eastAsia="zh-CN" w:bidi="ar-SA"/>
              </w:rPr>
              <w:t>。</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17</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color w:val="auto"/>
                <w:highlight w:val="none"/>
              </w:rPr>
              <w:t>★</w:t>
            </w:r>
            <w:r>
              <w:rPr>
                <w:rFonts w:hint="eastAsia" w:ascii="宋体" w:hAnsi="宋体" w:eastAsia="宋体" w:cs="宋体"/>
                <w:color w:val="auto"/>
                <w:kern w:val="2"/>
                <w:sz w:val="21"/>
                <w:szCs w:val="21"/>
                <w:highlight w:val="none"/>
                <w:lang w:val="en-US" w:eastAsia="zh-CN" w:bidi="ar-SA"/>
              </w:rPr>
              <w:t>基于本设备开展的项目所需的试剂耗材须在广东省第三方药品电子交易平台上且不高于平台限价。</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18</w:t>
            </w:r>
          </w:p>
        </w:tc>
        <w:tc>
          <w:tcPr>
            <w:tcW w:w="4900" w:type="dxa"/>
            <w:vAlign w:val="top"/>
          </w:tcPr>
          <w:p>
            <w:pPr>
              <w:spacing w:line="240" w:lineRule="auto"/>
              <w:rPr>
                <w:rFonts w:hint="eastAsia" w:asciiTheme="minorHAnsi" w:hAnsiTheme="minorHAnsi" w:eastAsiaTheme="minorEastAsia" w:cstheme="minorBidi"/>
                <w:color w:val="auto"/>
                <w:kern w:val="2"/>
                <w:sz w:val="21"/>
                <w:szCs w:val="24"/>
                <w:highlight w:val="cyan"/>
                <w:lang w:val="en-US" w:eastAsia="zh-CN" w:bidi="ar-SA"/>
              </w:rPr>
            </w:pPr>
            <w:r>
              <w:rPr>
                <w:rFonts w:hint="eastAsia" w:ascii="宋体" w:hAnsi="宋体" w:eastAsia="宋体" w:cs="宋体"/>
                <w:color w:val="auto"/>
                <w:kern w:val="2"/>
                <w:sz w:val="21"/>
                <w:szCs w:val="21"/>
                <w:highlight w:val="none"/>
                <w:lang w:val="en-US" w:eastAsia="zh-CN" w:bidi="ar-SA"/>
              </w:rPr>
              <w:t>医用核酸分子杂交仪开展的检测项目每人次整体成本（含试剂和消耗性耗材）不得高于《中山市非营利性医疗机构医疗服务价格》现行版本中收费标准。</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19</w:t>
            </w:r>
          </w:p>
        </w:tc>
        <w:tc>
          <w:tcPr>
            <w:tcW w:w="4900" w:type="dxa"/>
          </w:tcPr>
          <w:p>
            <w:pPr>
              <w:pStyle w:val="16"/>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其他要求：</w:t>
            </w:r>
          </w:p>
          <w:p>
            <w:pPr>
              <w:pStyle w:val="16"/>
              <w:keepNext w:val="0"/>
              <w:keepLines w:val="0"/>
              <w:pageBreakBefore w:val="0"/>
              <w:widowControl/>
              <w:tabs>
                <w:tab w:val="left" w:pos="993"/>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★（1）提供标准R232数据接口，</w:t>
            </w:r>
            <w:r>
              <w:rPr>
                <w:rFonts w:hint="eastAsia" w:ascii="宋体" w:hAnsi="宋体" w:eastAsia="宋体" w:cs="宋体"/>
                <w:b w:val="0"/>
                <w:bCs w:val="0"/>
                <w:color w:val="auto"/>
                <w:kern w:val="2"/>
                <w:sz w:val="21"/>
                <w:szCs w:val="21"/>
                <w:highlight w:val="none"/>
                <w:lang w:val="en-US" w:eastAsia="zh-CN" w:bidi="ar-SA"/>
              </w:rPr>
              <w:t>仪器配置样品条形</w:t>
            </w:r>
            <w:r>
              <w:rPr>
                <w:rFonts w:hint="eastAsia" w:ascii="宋体" w:hAnsi="宋体" w:eastAsia="宋体" w:cs="宋体"/>
                <w:color w:val="auto"/>
                <w:kern w:val="2"/>
                <w:sz w:val="21"/>
                <w:szCs w:val="21"/>
                <w:highlight w:val="none"/>
                <w:lang w:val="en-US" w:eastAsia="zh-CN" w:bidi="ar-SA"/>
              </w:rPr>
              <w:t>识别装置，配置匹配该设备使用的最新版本分析软件，为独立的中间体软件，接</w:t>
            </w:r>
            <w:r>
              <w:rPr>
                <w:rFonts w:hint="eastAsia" w:ascii="宋体" w:hAnsi="宋体" w:eastAsia="宋体" w:cs="宋体"/>
                <w:color w:val="auto"/>
                <w:sz w:val="21"/>
                <w:szCs w:val="21"/>
                <w:highlight w:val="none"/>
                <w:lang w:val="en-US" w:eastAsia="zh-CN"/>
              </w:rPr>
              <w:t>口软件</w:t>
            </w:r>
            <w:r>
              <w:rPr>
                <w:rFonts w:hint="eastAsia" w:ascii="宋体" w:hAnsi="宋体" w:eastAsia="宋体" w:cs="宋体"/>
                <w:b w:val="0"/>
                <w:bCs w:val="0"/>
                <w:color w:val="auto"/>
                <w:kern w:val="2"/>
                <w:sz w:val="21"/>
                <w:szCs w:val="21"/>
                <w:highlight w:val="none"/>
                <w:lang w:val="en-US" w:eastAsia="zh-CN" w:bidi="ar-SA"/>
              </w:rPr>
              <w:t>可与实验室信息管理系统LIS 系统实现双向通信，</w:t>
            </w:r>
            <w:r>
              <w:rPr>
                <w:rFonts w:hint="eastAsia" w:ascii="宋体" w:hAnsi="宋体" w:eastAsia="宋体" w:cs="宋体"/>
                <w:color w:val="auto"/>
                <w:kern w:val="2"/>
                <w:sz w:val="21"/>
                <w:szCs w:val="21"/>
                <w:highlight w:val="none"/>
                <w:lang w:val="en-US" w:eastAsia="zh-CN" w:bidi="ar-SA"/>
              </w:rPr>
              <w:t>提供工作站，按实验室要求与医院现有LIS 系统连接，</w:t>
            </w:r>
            <w:r>
              <w:rPr>
                <w:rFonts w:hint="eastAsia" w:ascii="宋体" w:hAnsi="宋体" w:cs="宋体"/>
                <w:color w:val="auto"/>
                <w:szCs w:val="21"/>
                <w:highlight w:val="none"/>
                <w:lang w:val="en-US" w:eastAsia="zh-CN"/>
              </w:rPr>
              <w:t>所需</w:t>
            </w:r>
            <w:r>
              <w:rPr>
                <w:rFonts w:hint="eastAsia" w:ascii="宋体" w:hAnsi="宋体" w:cs="宋体"/>
                <w:szCs w:val="21"/>
                <w:highlight w:val="none"/>
                <w:lang w:eastAsia="zh-CN"/>
              </w:rPr>
              <w:t>费用包含在响应报价中</w:t>
            </w:r>
            <w:r>
              <w:rPr>
                <w:rFonts w:hint="eastAsia" w:ascii="宋体" w:hAnsi="宋体" w:eastAsia="宋体" w:cs="宋体"/>
                <w:color w:val="auto"/>
                <w:kern w:val="2"/>
                <w:sz w:val="21"/>
                <w:szCs w:val="21"/>
                <w:highlight w:val="none"/>
                <w:lang w:val="en-US" w:eastAsia="zh-CN" w:bidi="ar-SA"/>
              </w:rPr>
              <w:t>。若因仪器接入而需对医院现有LIS系统进行改造或升级，</w:t>
            </w:r>
            <w:r>
              <w:rPr>
                <w:rFonts w:hint="eastAsia" w:ascii="宋体" w:hAnsi="宋体" w:cs="宋体"/>
                <w:color w:val="auto"/>
                <w:szCs w:val="21"/>
                <w:highlight w:val="none"/>
                <w:lang w:val="en-US" w:eastAsia="zh-CN"/>
              </w:rPr>
              <w:t>所需</w:t>
            </w:r>
            <w:r>
              <w:rPr>
                <w:rFonts w:hint="eastAsia" w:ascii="宋体" w:hAnsi="宋体" w:cs="宋体"/>
                <w:szCs w:val="21"/>
                <w:highlight w:val="none"/>
                <w:lang w:eastAsia="zh-CN"/>
              </w:rPr>
              <w:t>费用包含在响应报价中</w:t>
            </w:r>
            <w:r>
              <w:rPr>
                <w:rFonts w:hint="eastAsia" w:ascii="宋体" w:hAnsi="宋体" w:eastAsia="宋体" w:cs="宋体"/>
                <w:color w:val="auto"/>
                <w:kern w:val="2"/>
                <w:sz w:val="21"/>
                <w:szCs w:val="21"/>
                <w:highlight w:val="none"/>
                <w:lang w:val="en-US" w:eastAsia="zh-CN" w:bidi="ar-SA"/>
              </w:rPr>
              <w:t>。</w:t>
            </w:r>
            <w:r>
              <w:rPr>
                <w:rFonts w:hint="eastAsia" w:ascii="宋体" w:hAnsi="宋体" w:cs="Arial"/>
                <w:b/>
                <w:highlight w:val="none"/>
              </w:rPr>
              <w:t>（</w:t>
            </w:r>
            <w:r>
              <w:rPr>
                <w:rFonts w:hint="eastAsia" w:ascii="宋体" w:hAnsi="宋体"/>
                <w:b/>
                <w:highlight w:val="none"/>
              </w:rPr>
              <w:t>提供加盖响应供应商公章的承诺函</w:t>
            </w:r>
            <w:r>
              <w:rPr>
                <w:rFonts w:hint="eastAsia" w:ascii="宋体" w:hAnsi="宋体" w:cs="Arial"/>
                <w:b/>
                <w:highlight w:val="none"/>
              </w:rPr>
              <w:t>）</w:t>
            </w:r>
          </w:p>
          <w:p>
            <w:pPr>
              <w:pStyle w:val="16"/>
              <w:keepNext w:val="0"/>
              <w:keepLines w:val="0"/>
              <w:pageBreakBefore w:val="0"/>
              <w:widowControl/>
              <w:tabs>
                <w:tab w:val="left" w:pos="993"/>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★（2）提供仪器所需的不间断适配电源，AC 220V（波动≤10%），所需费用包含在响应报价中。</w:t>
            </w:r>
          </w:p>
          <w:p>
            <w:pPr>
              <w:pStyle w:val="16"/>
              <w:keepNext w:val="0"/>
              <w:keepLines w:val="0"/>
              <w:pageBreakBefore w:val="0"/>
              <w:widowControl/>
              <w:tabs>
                <w:tab w:val="left" w:pos="993"/>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2"/>
                <w:sz w:val="21"/>
                <w:szCs w:val="21"/>
                <w:highlight w:val="none"/>
                <w:lang w:val="en-US" w:eastAsia="zh-CN" w:bidi="ar-SA"/>
              </w:rPr>
              <w:t>（3）其它参数至少满足仪器操作说明书要求。</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w:t>
            </w:r>
          </w:p>
        </w:tc>
        <w:tc>
          <w:tcPr>
            <w:tcW w:w="4900" w:type="dxa"/>
          </w:tcPr>
          <w:p>
            <w:pPr>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配置要求：</w:t>
            </w:r>
          </w:p>
          <w:tbl>
            <w:tblPr>
              <w:tblStyle w:val="12"/>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1348"/>
              <w:gridCol w:w="2143"/>
              <w:gridCol w:w="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81" w:type="dxa"/>
                </w:tcPr>
                <w:p>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348" w:type="dxa"/>
                </w:tcPr>
                <w:p>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名称</w:t>
                  </w:r>
                </w:p>
              </w:tc>
              <w:tc>
                <w:tcPr>
                  <w:tcW w:w="2143" w:type="dxa"/>
                </w:tcPr>
                <w:p>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要求</w:t>
                  </w:r>
                </w:p>
              </w:tc>
              <w:tc>
                <w:tcPr>
                  <w:tcW w:w="601" w:type="dxa"/>
                </w:tcPr>
                <w:p>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81" w:type="dxa"/>
                  <w:vAlign w:val="center"/>
                </w:tcPr>
                <w:p>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1</w:t>
                  </w:r>
                </w:p>
              </w:tc>
              <w:tc>
                <w:tcPr>
                  <w:tcW w:w="1348" w:type="dxa"/>
                  <w:vAlign w:val="center"/>
                </w:tcPr>
                <w:p>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医用核酸分子杂交仪</w:t>
                  </w:r>
                </w:p>
              </w:tc>
              <w:tc>
                <w:tcPr>
                  <w:tcW w:w="2143" w:type="dxa"/>
                  <w:vAlign w:val="center"/>
                </w:tcPr>
                <w:p>
                  <w:pPr>
                    <w:spacing w:line="440" w:lineRule="exact"/>
                    <w:jc w:val="center"/>
                    <w:rPr>
                      <w:rFonts w:hint="eastAsia" w:ascii="宋体" w:hAnsi="宋体" w:eastAsia="宋体" w:cs="宋体"/>
                      <w:color w:val="auto"/>
                      <w:szCs w:val="21"/>
                      <w:lang w:val="en-US" w:eastAsia="zh-CN"/>
                    </w:rPr>
                  </w:pPr>
                  <w:r>
                    <w:rPr>
                      <w:rFonts w:hint="eastAsia" w:ascii="宋体" w:hAnsi="宋体" w:eastAsia="宋体" w:cs="宋体"/>
                      <w:b w:val="0"/>
                      <w:bCs w:val="0"/>
                      <w:color w:val="auto"/>
                      <w:sz w:val="21"/>
                      <w:szCs w:val="21"/>
                      <w:highlight w:val="none"/>
                      <w:lang w:eastAsia="zh-CN"/>
                    </w:rPr>
                    <w:t>符合上述技术参数要求</w:t>
                  </w:r>
                </w:p>
              </w:tc>
              <w:tc>
                <w:tcPr>
                  <w:tcW w:w="601" w:type="dxa"/>
                  <w:vAlign w:val="center"/>
                </w:tcPr>
                <w:p>
                  <w:pPr>
                    <w:spacing w:line="44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81" w:type="dxa"/>
                  <w:vAlign w:val="center"/>
                </w:tcPr>
                <w:p>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2</w:t>
                  </w:r>
                </w:p>
              </w:tc>
              <w:tc>
                <w:tcPr>
                  <w:tcW w:w="1348" w:type="dxa"/>
                  <w:vAlign w:val="center"/>
                </w:tcPr>
                <w:p>
                  <w:pPr>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软件系统</w:t>
                  </w:r>
                </w:p>
              </w:tc>
              <w:tc>
                <w:tcPr>
                  <w:tcW w:w="2143" w:type="dxa"/>
                  <w:vAlign w:val="center"/>
                </w:tcPr>
                <w:p>
                  <w:pPr>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z w:val="21"/>
                      <w:szCs w:val="21"/>
                      <w:highlight w:val="none"/>
                      <w:lang w:eastAsia="zh-CN"/>
                    </w:rPr>
                    <w:t>符合上述技术参数要求</w:t>
                  </w:r>
                </w:p>
              </w:tc>
              <w:tc>
                <w:tcPr>
                  <w:tcW w:w="601" w:type="dxa"/>
                  <w:vAlign w:val="center"/>
                </w:tcPr>
                <w:p>
                  <w:pPr>
                    <w:spacing w:line="44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8" w:hRule="atLeast"/>
              </w:trPr>
              <w:tc>
                <w:tcPr>
                  <w:tcW w:w="581" w:type="dxa"/>
                  <w:vAlign w:val="center"/>
                </w:tcPr>
                <w:p>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3</w:t>
                  </w:r>
                </w:p>
              </w:tc>
              <w:tc>
                <w:tcPr>
                  <w:tcW w:w="1348" w:type="dxa"/>
                  <w:vAlign w:val="center"/>
                </w:tcPr>
                <w:p>
                  <w:pPr>
                    <w:spacing w:line="4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Cs w:val="21"/>
                      <w:highlight w:val="none"/>
                    </w:rPr>
                    <w:t>工作站</w:t>
                  </w:r>
                </w:p>
              </w:tc>
              <w:tc>
                <w:tcPr>
                  <w:tcW w:w="2143" w:type="dxa"/>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lang w:eastAsia="zh-CN"/>
                    </w:rPr>
                  </w:pPr>
                  <w:r>
                    <w:rPr>
                      <w:rFonts w:hint="eastAsia"/>
                      <w:highlight w:val="none"/>
                      <w:lang w:val="en-US" w:eastAsia="zh-CN"/>
                    </w:rPr>
                    <w:t>提供与该仪器匹配使用的工作站（含显示器、鼠标、键盘等）：CPU：≥i5-10500；内存：≥16G；硬盘≥512G固态硬盘+1TB硬盘；Windows 10操作系统，显示器：≥24英寸</w:t>
                  </w:r>
                </w:p>
              </w:tc>
              <w:tc>
                <w:tcPr>
                  <w:tcW w:w="601" w:type="dxa"/>
                  <w:vAlign w:val="center"/>
                </w:tcPr>
                <w:p>
                  <w:pPr>
                    <w:spacing w:line="240" w:lineRule="auto"/>
                    <w:jc w:val="center"/>
                    <w:rPr>
                      <w:rFonts w:hint="eastAsia" w:ascii="宋体" w:hAnsi="宋体" w:eastAsia="宋体" w:cs="宋体"/>
                      <w:color w:val="auto"/>
                      <w:szCs w:val="21"/>
                      <w:lang w:val="en-US" w:eastAsia="zh-CN"/>
                    </w:rPr>
                  </w:pPr>
                  <w:r>
                    <w:rPr>
                      <w:rFonts w:hint="eastAsia" w:ascii="宋体" w:hAnsi="宋体" w:eastAsia="宋体" w:cs="宋体"/>
                      <w:color w:val="auto"/>
                      <w:sz w:val="21"/>
                      <w:szCs w:val="21"/>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81" w:type="dxa"/>
                  <w:vAlign w:val="center"/>
                </w:tcPr>
                <w:p>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4</w:t>
                  </w:r>
                </w:p>
              </w:tc>
              <w:tc>
                <w:tcPr>
                  <w:tcW w:w="1348" w:type="dxa"/>
                  <w:vAlign w:val="center"/>
                </w:tcPr>
                <w:p>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PCR低温指示冰盒</w:t>
                  </w:r>
                </w:p>
              </w:tc>
              <w:tc>
                <w:tcPr>
                  <w:tcW w:w="2143" w:type="dxa"/>
                  <w:vAlign w:val="center"/>
                </w:tcPr>
                <w:p>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1.5-2ml，24孔</w:t>
                  </w:r>
                </w:p>
              </w:tc>
              <w:tc>
                <w:tcPr>
                  <w:tcW w:w="601" w:type="dxa"/>
                  <w:vAlign w:val="center"/>
                </w:tcPr>
                <w:p>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3块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81" w:type="dxa"/>
                  <w:vAlign w:val="center"/>
                </w:tcPr>
                <w:p>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5</w:t>
                  </w:r>
                </w:p>
              </w:tc>
              <w:tc>
                <w:tcPr>
                  <w:tcW w:w="1348" w:type="dxa"/>
                  <w:vAlign w:val="center"/>
                </w:tcPr>
                <w:p>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PCR低温指示冰盒</w:t>
                  </w:r>
                </w:p>
              </w:tc>
              <w:tc>
                <w:tcPr>
                  <w:tcW w:w="2143" w:type="dxa"/>
                  <w:vAlign w:val="center"/>
                </w:tcPr>
                <w:p>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0.2ml，96孔</w:t>
                  </w:r>
                </w:p>
              </w:tc>
              <w:tc>
                <w:tcPr>
                  <w:tcW w:w="601" w:type="dxa"/>
                  <w:vAlign w:val="center"/>
                </w:tcPr>
                <w:p>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3块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5" w:hRule="atLeast"/>
              </w:trPr>
              <w:tc>
                <w:tcPr>
                  <w:tcW w:w="581" w:type="dxa"/>
                  <w:vAlign w:val="center"/>
                </w:tcPr>
                <w:p>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6</w:t>
                  </w:r>
                </w:p>
              </w:tc>
              <w:tc>
                <w:tcPr>
                  <w:tcW w:w="1348" w:type="dxa"/>
                  <w:vAlign w:val="center"/>
                </w:tcPr>
                <w:p>
                  <w:pPr>
                    <w:spacing w:line="44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Cs w:val="21"/>
                      <w:lang w:val="en-US" w:eastAsia="zh-CN"/>
                    </w:rPr>
                    <w:t>基因扩增仪</w:t>
                  </w:r>
                </w:p>
              </w:tc>
              <w:tc>
                <w:tcPr>
                  <w:tcW w:w="2143" w:type="dxa"/>
                  <w:vAlign w:val="center"/>
                </w:tcPr>
                <w:p>
                  <w:pPr>
                    <w:spacing w:line="44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1，样本通量不少于96孔/套</w:t>
                  </w:r>
                </w:p>
                <w:p>
                  <w:pPr>
                    <w:spacing w:line="44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2，适用耗材：支持0.2mL 96孔PCR板（全裙板、半裙板、无裙板通用）， 0.2mL PCR单管，0.2mL PCR 8联管</w:t>
                  </w:r>
                </w:p>
                <w:p>
                  <w:pPr>
                    <w:spacing w:line="44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3，支持断电保护</w:t>
                  </w:r>
                </w:p>
                <w:p>
                  <w:pPr>
                    <w:spacing w:line="44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Cs w:val="21"/>
                      <w:lang w:val="en-US" w:eastAsia="zh-CN"/>
                    </w:rPr>
                    <w:t>4，温控范围：4～105℃</w:t>
                  </w:r>
                </w:p>
              </w:tc>
              <w:tc>
                <w:tcPr>
                  <w:tcW w:w="601" w:type="dxa"/>
                  <w:vAlign w:val="center"/>
                </w:tcPr>
                <w:p>
                  <w:pPr>
                    <w:spacing w:line="440" w:lineRule="exact"/>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auto"/>
                      <w:szCs w:val="21"/>
                      <w:lang w:val="en-US" w:eastAsia="zh-CN"/>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81" w:type="dxa"/>
                  <w:vAlign w:val="center"/>
                </w:tcPr>
                <w:p>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7</w:t>
                  </w:r>
                </w:p>
              </w:tc>
              <w:tc>
                <w:tcPr>
                  <w:tcW w:w="1348" w:type="dxa"/>
                  <w:vAlign w:val="center"/>
                </w:tcPr>
                <w:p>
                  <w:pPr>
                    <w:spacing w:line="440" w:lineRule="exact"/>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不间断适配电源</w:t>
                  </w:r>
                </w:p>
              </w:tc>
              <w:tc>
                <w:tcPr>
                  <w:tcW w:w="2143" w:type="dxa"/>
                  <w:vAlign w:val="center"/>
                </w:tcPr>
                <w:p>
                  <w:pPr>
                    <w:spacing w:line="440" w:lineRule="exact"/>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val="0"/>
                      <w:bCs w:val="0"/>
                      <w:color w:val="auto"/>
                      <w:kern w:val="0"/>
                      <w:sz w:val="21"/>
                      <w:szCs w:val="21"/>
                      <w:lang w:val="en-US" w:eastAsia="zh-CN"/>
                    </w:rPr>
                    <w:t>满足</w:t>
                  </w:r>
                  <w:r>
                    <w:rPr>
                      <w:rFonts w:hint="eastAsia" w:ascii="宋体" w:hAnsi="宋体" w:eastAsia="宋体" w:cs="宋体"/>
                      <w:b w:val="0"/>
                      <w:bCs w:val="0"/>
                      <w:color w:val="auto"/>
                      <w:kern w:val="0"/>
                      <w:sz w:val="21"/>
                      <w:szCs w:val="21"/>
                      <w:lang w:eastAsia="zh-CN"/>
                    </w:rPr>
                    <w:t>仪器安装</w:t>
                  </w:r>
                  <w:r>
                    <w:rPr>
                      <w:rFonts w:hint="eastAsia" w:ascii="宋体" w:hAnsi="宋体" w:eastAsia="宋体" w:cs="宋体"/>
                      <w:b w:val="0"/>
                      <w:bCs w:val="0"/>
                      <w:color w:val="auto"/>
                      <w:kern w:val="0"/>
                      <w:sz w:val="21"/>
                      <w:szCs w:val="21"/>
                      <w:lang w:val="en-US" w:eastAsia="zh-CN"/>
                    </w:rPr>
                    <w:t>使用</w:t>
                  </w:r>
                  <w:r>
                    <w:rPr>
                      <w:rFonts w:hint="eastAsia" w:ascii="宋体" w:hAnsi="宋体" w:eastAsia="宋体" w:cs="宋体"/>
                      <w:b w:val="0"/>
                      <w:bCs w:val="0"/>
                      <w:color w:val="auto"/>
                      <w:kern w:val="0"/>
                      <w:sz w:val="21"/>
                      <w:szCs w:val="21"/>
                      <w:lang w:eastAsia="zh-CN"/>
                    </w:rPr>
                    <w:t>需求</w:t>
                  </w:r>
                </w:p>
              </w:tc>
              <w:tc>
                <w:tcPr>
                  <w:tcW w:w="601" w:type="dxa"/>
                  <w:vAlign w:val="center"/>
                </w:tcPr>
                <w:p>
                  <w:pPr>
                    <w:spacing w:line="440" w:lineRule="exact"/>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color w:val="auto"/>
                      <w:szCs w:val="21"/>
                      <w:lang w:val="en-US" w:eastAsia="zh-CN"/>
                    </w:rPr>
                    <w:t>1组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81" w:type="dxa"/>
                  <w:vAlign w:val="center"/>
                </w:tcPr>
                <w:p>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8</w:t>
                  </w:r>
                </w:p>
              </w:tc>
              <w:tc>
                <w:tcPr>
                  <w:tcW w:w="1348" w:type="dxa"/>
                  <w:vAlign w:val="center"/>
                </w:tcPr>
                <w:p>
                  <w:pPr>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文件</w:t>
                  </w:r>
                </w:p>
              </w:tc>
              <w:tc>
                <w:tcPr>
                  <w:tcW w:w="2143" w:type="dxa"/>
                  <w:vAlign w:val="center"/>
                </w:tcPr>
                <w:p>
                  <w:pPr>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提供纸质版</w:t>
                  </w:r>
                  <w:r>
                    <w:rPr>
                      <w:rFonts w:hint="eastAsia" w:ascii="宋体" w:hAnsi="宋体" w:eastAsia="宋体" w:cs="宋体"/>
                      <w:color w:val="auto"/>
                      <w:sz w:val="21"/>
                      <w:szCs w:val="21"/>
                      <w:lang w:eastAsia="zh-CN"/>
                    </w:rPr>
                    <w:t>和</w:t>
                  </w:r>
                  <w:r>
                    <w:rPr>
                      <w:rFonts w:hint="eastAsia" w:ascii="宋体" w:hAnsi="宋体" w:eastAsia="宋体" w:cs="宋体"/>
                      <w:color w:val="auto"/>
                      <w:sz w:val="21"/>
                      <w:szCs w:val="21"/>
                    </w:rPr>
                    <w:t>电子版仪器标</w:t>
                  </w:r>
                  <w:r>
                    <w:rPr>
                      <w:rFonts w:hint="eastAsia" w:ascii="宋体" w:hAnsi="宋体" w:eastAsia="宋体" w:cs="宋体"/>
                      <w:color w:val="auto"/>
                      <w:sz w:val="21"/>
                      <w:szCs w:val="21"/>
                      <w:lang w:eastAsia="zh-CN"/>
                    </w:rPr>
                    <w:t>准</w:t>
                  </w:r>
                  <w:r>
                    <w:rPr>
                      <w:rFonts w:hint="eastAsia" w:ascii="宋体" w:hAnsi="宋体" w:eastAsia="宋体" w:cs="宋体"/>
                      <w:color w:val="auto"/>
                      <w:sz w:val="21"/>
                      <w:szCs w:val="21"/>
                    </w:rPr>
                    <w:t>操作程序文件（SOP）</w:t>
                  </w:r>
                  <w:r>
                    <w:rPr>
                      <w:rFonts w:hint="eastAsia" w:ascii="宋体" w:hAnsi="宋体" w:eastAsia="宋体" w:cs="宋体"/>
                      <w:color w:val="auto"/>
                      <w:sz w:val="21"/>
                      <w:szCs w:val="21"/>
                      <w:lang w:eastAsia="zh-CN"/>
                    </w:rPr>
                    <w:t>、操作卡等</w:t>
                  </w:r>
                </w:p>
              </w:tc>
              <w:tc>
                <w:tcPr>
                  <w:tcW w:w="601" w:type="dxa"/>
                  <w:vAlign w:val="center"/>
                </w:tcPr>
                <w:p>
                  <w:pPr>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581" w:type="dxa"/>
                  <w:vAlign w:val="center"/>
                </w:tcPr>
                <w:p>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9</w:t>
                  </w:r>
                </w:p>
              </w:tc>
              <w:tc>
                <w:tcPr>
                  <w:tcW w:w="1348" w:type="dxa"/>
                  <w:vAlign w:val="center"/>
                </w:tcPr>
                <w:p>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b w:val="0"/>
                      <w:bCs w:val="0"/>
                      <w:color w:val="auto"/>
                      <w:kern w:val="0"/>
                      <w:sz w:val="21"/>
                      <w:szCs w:val="21"/>
                      <w:lang w:eastAsia="zh-CN"/>
                    </w:rPr>
                    <w:t>适配电源线</w:t>
                  </w:r>
                </w:p>
              </w:tc>
              <w:tc>
                <w:tcPr>
                  <w:tcW w:w="2143" w:type="dxa"/>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b w:val="0"/>
                      <w:bCs w:val="0"/>
                      <w:color w:val="auto"/>
                      <w:kern w:val="0"/>
                      <w:sz w:val="21"/>
                      <w:szCs w:val="21"/>
                      <w:lang w:eastAsia="zh-CN"/>
                    </w:rPr>
                    <w:t>符合仪器安装需求</w:t>
                  </w:r>
                </w:p>
              </w:tc>
              <w:tc>
                <w:tcPr>
                  <w:tcW w:w="601" w:type="dxa"/>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b w:val="0"/>
                      <w:bCs w:val="0"/>
                      <w:color w:val="auto"/>
                      <w:kern w:val="0"/>
                      <w:sz w:val="21"/>
                      <w:szCs w:val="21"/>
                      <w:lang w:eastAsia="zh-CN"/>
                    </w:rPr>
                    <w:t>若干</w:t>
                  </w:r>
                  <w:r>
                    <w:rPr>
                      <w:rFonts w:hint="eastAsia" w:ascii="宋体" w:hAnsi="宋体" w:eastAsia="宋体" w:cs="宋体"/>
                      <w:b w:val="0"/>
                      <w:bCs w:val="0"/>
                      <w:color w:val="auto"/>
                      <w:kern w:val="0"/>
                      <w:sz w:val="21"/>
                      <w:szCs w:val="21"/>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581" w:type="dxa"/>
                  <w:vAlign w:val="center"/>
                </w:tcPr>
                <w:p>
                  <w:pPr>
                    <w:spacing w:line="440" w:lineRule="exact"/>
                    <w:jc w:val="center"/>
                    <w:rPr>
                      <w:rFonts w:hint="eastAsia" w:ascii="宋体" w:hAnsi="宋体" w:eastAsia="宋体" w:cs="宋体"/>
                      <w:color w:val="auto"/>
                      <w:szCs w:val="21"/>
                      <w:lang w:val="en-US" w:eastAsia="zh-CN"/>
                    </w:rPr>
                  </w:pPr>
                </w:p>
              </w:tc>
              <w:tc>
                <w:tcPr>
                  <w:tcW w:w="1348" w:type="dxa"/>
                  <w:vAlign w:val="center"/>
                </w:tcPr>
                <w:p>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b w:val="0"/>
                      <w:bCs w:val="0"/>
                      <w:color w:val="auto"/>
                      <w:kern w:val="0"/>
                      <w:sz w:val="21"/>
                      <w:szCs w:val="21"/>
                      <w:lang w:eastAsia="zh-CN"/>
                    </w:rPr>
                    <w:t>使用说明书</w:t>
                  </w:r>
                </w:p>
              </w:tc>
              <w:tc>
                <w:tcPr>
                  <w:tcW w:w="2143" w:type="dxa"/>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b w:val="0"/>
                      <w:bCs w:val="0"/>
                      <w:color w:val="auto"/>
                      <w:kern w:val="0"/>
                      <w:sz w:val="21"/>
                      <w:szCs w:val="21"/>
                      <w:lang w:eastAsia="zh-CN"/>
                    </w:rPr>
                    <w:t>符合仪器使用需求</w:t>
                  </w:r>
                </w:p>
              </w:tc>
              <w:tc>
                <w:tcPr>
                  <w:tcW w:w="601" w:type="dxa"/>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b w:val="0"/>
                      <w:bCs w:val="0"/>
                      <w:color w:val="auto"/>
                      <w:kern w:val="0"/>
                      <w:sz w:val="21"/>
                      <w:szCs w:val="21"/>
                      <w:lang w:val="en-US" w:eastAsia="zh-CN"/>
                    </w:rPr>
                    <w:t>1册</w:t>
                  </w:r>
                </w:p>
              </w:tc>
            </w:tr>
          </w:tbl>
          <w:p>
            <w:pPr>
              <w:pStyle w:val="11"/>
              <w:rPr>
                <w:rFonts w:hint="eastAsia" w:ascii="宋体" w:hAnsi="宋体" w:eastAsia="宋体" w:cs="宋体"/>
                <w:lang w:val="en-US" w:eastAsia="zh-CN"/>
              </w:rPr>
            </w:pP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bl>
    <w:p>
      <w:pPr>
        <w:numPr>
          <w:ilvl w:val="0"/>
          <w:numId w:val="2"/>
        </w:num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商务要求：（请按用户需求里的技术要求及配置要求逐条响应）</w:t>
      </w:r>
    </w:p>
    <w:tbl>
      <w:tblPr>
        <w:tblStyle w:val="13"/>
        <w:tblW w:w="8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8"/>
        <w:gridCol w:w="4337"/>
        <w:gridCol w:w="1355"/>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338"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4337"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商务参数项目</w:t>
            </w:r>
          </w:p>
        </w:tc>
        <w:tc>
          <w:tcPr>
            <w:tcW w:w="1355"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完全响应或正/负偏离</w:t>
            </w:r>
          </w:p>
        </w:tc>
        <w:tc>
          <w:tcPr>
            <w:tcW w:w="1587"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38"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4337" w:type="dxa"/>
          </w:tcPr>
          <w:p>
            <w:pPr>
              <w:spacing w:line="440" w:lineRule="exac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交货地点：采购人指定地点。</w:t>
            </w:r>
          </w:p>
        </w:tc>
        <w:tc>
          <w:tcPr>
            <w:tcW w:w="1355" w:type="dxa"/>
          </w:tcPr>
          <w:p>
            <w:pPr>
              <w:numPr>
                <w:ilvl w:val="0"/>
                <w:numId w:val="0"/>
              </w:numPr>
              <w:jc w:val="both"/>
              <w:rPr>
                <w:rFonts w:hint="eastAsia" w:ascii="宋体" w:hAnsi="宋体" w:eastAsia="宋体" w:cs="宋体"/>
                <w:color w:val="auto"/>
                <w:sz w:val="21"/>
                <w:szCs w:val="21"/>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38"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4337"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交货期：</w:t>
            </w:r>
            <w:r>
              <w:rPr>
                <w:rFonts w:hint="eastAsia" w:ascii="宋体" w:hAnsi="宋体" w:eastAsia="宋体" w:cs="宋体"/>
                <w:color w:val="auto"/>
                <w:sz w:val="21"/>
                <w:szCs w:val="21"/>
                <w:lang w:eastAsia="zh-CN"/>
              </w:rPr>
              <w:t>成交供应商</w:t>
            </w:r>
            <w:r>
              <w:rPr>
                <w:rFonts w:hint="eastAsia" w:ascii="宋体" w:hAnsi="宋体" w:eastAsia="宋体" w:cs="宋体"/>
                <w:color w:val="auto"/>
                <w:sz w:val="21"/>
                <w:szCs w:val="21"/>
              </w:rPr>
              <w:t>应当在</w:t>
            </w:r>
            <w:r>
              <w:rPr>
                <w:rFonts w:hint="eastAsia" w:ascii="宋体" w:hAnsi="宋体" w:eastAsia="宋体" w:cs="宋体"/>
                <w:color w:val="auto"/>
                <w:sz w:val="21"/>
                <w:szCs w:val="21"/>
                <w:lang w:eastAsia="zh-CN"/>
              </w:rPr>
              <w:t>成交通知书</w:t>
            </w:r>
            <w:r>
              <w:rPr>
                <w:rFonts w:hint="eastAsia" w:ascii="宋体" w:hAnsi="宋体" w:eastAsia="宋体" w:cs="宋体"/>
                <w:color w:val="auto"/>
                <w:sz w:val="21"/>
                <w:szCs w:val="21"/>
              </w:rPr>
              <w:t>发出之日起30日内按</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及</w:t>
            </w:r>
            <w:r>
              <w:rPr>
                <w:rFonts w:hint="eastAsia" w:ascii="宋体" w:hAnsi="宋体" w:eastAsia="宋体" w:cs="宋体"/>
                <w:color w:val="auto"/>
                <w:sz w:val="21"/>
                <w:szCs w:val="21"/>
                <w:lang w:eastAsia="zh-CN"/>
              </w:rPr>
              <w:t>成交供应商</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确定的事项与采购人签订合同，签订合同后</w:t>
            </w:r>
            <w:r>
              <w:rPr>
                <w:rFonts w:hint="eastAsia" w:ascii="宋体" w:hAnsi="宋体" w:eastAsia="宋体" w:cs="宋体"/>
                <w:color w:val="auto"/>
                <w:sz w:val="21"/>
                <w:szCs w:val="21"/>
                <w:u w:val="single"/>
                <w:lang w:val="en-US" w:eastAsia="zh-CN"/>
              </w:rPr>
              <w:t>30</w:t>
            </w:r>
            <w:r>
              <w:rPr>
                <w:rFonts w:hint="eastAsia" w:ascii="宋体" w:hAnsi="宋体" w:eastAsia="宋体" w:cs="宋体"/>
                <w:color w:val="auto"/>
                <w:sz w:val="21"/>
                <w:szCs w:val="21"/>
              </w:rPr>
              <w:t>日内完成设备的安装调试。</w:t>
            </w:r>
          </w:p>
        </w:tc>
        <w:tc>
          <w:tcPr>
            <w:tcW w:w="1355" w:type="dxa"/>
          </w:tcPr>
          <w:p>
            <w:pPr>
              <w:numPr>
                <w:ilvl w:val="0"/>
                <w:numId w:val="0"/>
              </w:numPr>
              <w:jc w:val="both"/>
              <w:rPr>
                <w:rFonts w:hint="eastAsia" w:ascii="宋体" w:hAnsi="宋体" w:eastAsia="宋体" w:cs="宋体"/>
                <w:color w:val="auto"/>
                <w:sz w:val="21"/>
                <w:szCs w:val="21"/>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4337"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eastAsia="zh-CN"/>
              </w:rPr>
              <w:t>成交供应商</w:t>
            </w:r>
            <w:r>
              <w:rPr>
                <w:rFonts w:hint="eastAsia" w:ascii="宋体" w:hAnsi="宋体" w:eastAsia="宋体" w:cs="宋体"/>
                <w:color w:val="auto"/>
                <w:sz w:val="21"/>
                <w:szCs w:val="21"/>
              </w:rPr>
              <w:t>须保证</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后所提供的设备为原装、全新合格的产品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产品交付时成交供应商应提供产品真实有效的生产日期，且生产日期距交付时间的时间差不超过</w:t>
            </w:r>
            <w:r>
              <w:rPr>
                <w:rFonts w:hint="eastAsia" w:ascii="宋体" w:hAnsi="宋体" w:eastAsia="宋体" w:cs="宋体"/>
                <w:color w:val="auto"/>
                <w:sz w:val="21"/>
                <w:szCs w:val="21"/>
                <w:u w:val="single"/>
                <w:lang w:val="en-US" w:eastAsia="zh-CN"/>
              </w:rPr>
              <w:t>12</w:t>
            </w:r>
            <w:r>
              <w:rPr>
                <w:rFonts w:hint="eastAsia" w:ascii="宋体" w:hAnsi="宋体" w:eastAsia="宋体" w:cs="宋体"/>
                <w:color w:val="auto"/>
                <w:sz w:val="21"/>
                <w:szCs w:val="21"/>
              </w:rPr>
              <w:t>个月</w:t>
            </w:r>
            <w:r>
              <w:rPr>
                <w:rFonts w:hint="eastAsia" w:ascii="宋体" w:hAnsi="宋体" w:eastAsia="宋体" w:cs="宋体"/>
                <w:color w:val="auto"/>
                <w:sz w:val="21"/>
                <w:szCs w:val="21"/>
                <w:lang w:eastAsia="zh-CN"/>
              </w:rPr>
              <w:t>。</w:t>
            </w:r>
          </w:p>
        </w:tc>
        <w:tc>
          <w:tcPr>
            <w:tcW w:w="1355" w:type="dxa"/>
          </w:tcPr>
          <w:p>
            <w:pPr>
              <w:numPr>
                <w:ilvl w:val="0"/>
                <w:numId w:val="0"/>
              </w:numPr>
              <w:jc w:val="both"/>
              <w:rPr>
                <w:rFonts w:hint="eastAsia" w:ascii="宋体" w:hAnsi="宋体" w:eastAsia="宋体" w:cs="宋体"/>
                <w:color w:val="auto"/>
                <w:sz w:val="21"/>
                <w:szCs w:val="21"/>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w:t>
            </w:r>
          </w:p>
        </w:tc>
        <w:tc>
          <w:tcPr>
            <w:tcW w:w="4337" w:type="dxa"/>
          </w:tcPr>
          <w:p>
            <w:pPr>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eastAsia="zh-CN"/>
              </w:rPr>
              <w:t>成交供应商</w:t>
            </w:r>
            <w:r>
              <w:rPr>
                <w:rFonts w:hint="eastAsia" w:ascii="宋体" w:hAnsi="宋体" w:eastAsia="宋体" w:cs="宋体"/>
                <w:color w:val="auto"/>
                <w:sz w:val="21"/>
                <w:szCs w:val="21"/>
              </w:rPr>
              <w:t>负责派技术人员到现场进行安装调试，直至验收合格，安装调试所需费用应包含在投标总报价内；同时提供培训服务，必须保证需求科室操作人员融会贯通，培训所需费用全部包含在总报价内。</w:t>
            </w:r>
          </w:p>
        </w:tc>
        <w:tc>
          <w:tcPr>
            <w:tcW w:w="1355" w:type="dxa"/>
          </w:tcPr>
          <w:p>
            <w:pPr>
              <w:numPr>
                <w:ilvl w:val="0"/>
                <w:numId w:val="0"/>
              </w:numPr>
              <w:jc w:val="both"/>
              <w:rPr>
                <w:rFonts w:hint="eastAsia" w:ascii="宋体" w:hAnsi="宋体" w:eastAsia="宋体" w:cs="宋体"/>
                <w:color w:val="auto"/>
                <w:sz w:val="21"/>
                <w:szCs w:val="21"/>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p>
        </w:tc>
        <w:tc>
          <w:tcPr>
            <w:tcW w:w="4337"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验收方式：按《小榄镇</w:t>
            </w:r>
            <w:r>
              <w:rPr>
                <w:rFonts w:hint="eastAsia" w:ascii="宋体" w:hAnsi="宋体" w:eastAsia="宋体" w:cs="宋体"/>
                <w:color w:val="auto"/>
                <w:sz w:val="21"/>
                <w:szCs w:val="21"/>
                <w:lang w:eastAsia="zh-CN"/>
              </w:rPr>
              <w:t>公立</w:t>
            </w:r>
            <w:r>
              <w:rPr>
                <w:rFonts w:hint="eastAsia" w:ascii="宋体" w:hAnsi="宋体" w:eastAsia="宋体" w:cs="宋体"/>
                <w:color w:val="auto"/>
                <w:sz w:val="21"/>
                <w:szCs w:val="21"/>
              </w:rPr>
              <w:t>医院</w:t>
            </w:r>
            <w:r>
              <w:rPr>
                <w:rFonts w:hint="eastAsia" w:ascii="宋体" w:hAnsi="宋体" w:eastAsia="宋体" w:cs="宋体"/>
                <w:color w:val="auto"/>
                <w:sz w:val="21"/>
                <w:szCs w:val="21"/>
                <w:lang w:eastAsia="zh-CN"/>
              </w:rPr>
              <w:t>政府</w:t>
            </w:r>
            <w:r>
              <w:rPr>
                <w:rFonts w:hint="eastAsia" w:ascii="宋体" w:hAnsi="宋体" w:eastAsia="宋体" w:cs="宋体"/>
                <w:color w:val="auto"/>
                <w:sz w:val="21"/>
                <w:szCs w:val="21"/>
              </w:rPr>
              <w:t>采购和验收</w:t>
            </w:r>
            <w:r>
              <w:rPr>
                <w:rFonts w:hint="eastAsia" w:ascii="宋体" w:hAnsi="宋体" w:eastAsia="宋体" w:cs="宋体"/>
                <w:color w:val="auto"/>
                <w:sz w:val="21"/>
                <w:szCs w:val="21"/>
                <w:lang w:eastAsia="zh-CN"/>
              </w:rPr>
              <w:t>办法</w:t>
            </w:r>
            <w:r>
              <w:rPr>
                <w:rFonts w:hint="eastAsia" w:ascii="宋体" w:hAnsi="宋体" w:eastAsia="宋体" w:cs="宋体"/>
                <w:color w:val="auto"/>
                <w:sz w:val="21"/>
                <w:szCs w:val="21"/>
              </w:rPr>
              <w:t>》。</w:t>
            </w:r>
          </w:p>
        </w:tc>
        <w:tc>
          <w:tcPr>
            <w:tcW w:w="1355" w:type="dxa"/>
          </w:tcPr>
          <w:p>
            <w:pPr>
              <w:numPr>
                <w:ilvl w:val="0"/>
                <w:numId w:val="0"/>
              </w:numPr>
              <w:jc w:val="both"/>
              <w:rPr>
                <w:rFonts w:hint="eastAsia" w:ascii="宋体" w:hAnsi="宋体" w:eastAsia="宋体" w:cs="宋体"/>
                <w:color w:val="auto"/>
                <w:sz w:val="21"/>
                <w:szCs w:val="21"/>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4337" w:type="dxa"/>
          </w:tcPr>
          <w:p>
            <w:p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须在</w:t>
            </w: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lang w:val="en-US" w:eastAsia="zh-CN"/>
              </w:rPr>
              <w:t>提供《承诺函》（格式自拟）</w:t>
            </w:r>
            <w:r>
              <w:rPr>
                <w:rFonts w:hint="eastAsia" w:ascii="宋体" w:hAnsi="宋体" w:eastAsia="宋体" w:cs="宋体"/>
                <w:color w:val="auto"/>
                <w:sz w:val="21"/>
                <w:szCs w:val="21"/>
              </w:rPr>
              <w:t>，该承诺函包括但不限于以下内容:</w:t>
            </w:r>
          </w:p>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承诺</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后须在</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公告发布之日起五个工作日内提供设备制造厂商开具并盖章的合法有效的授权函原件（盖鲜章）、售后服务承诺函原件（盖鲜章）。</w:t>
            </w:r>
          </w:p>
        </w:tc>
        <w:tc>
          <w:tcPr>
            <w:tcW w:w="1355" w:type="dxa"/>
          </w:tcPr>
          <w:p>
            <w:pPr>
              <w:numPr>
                <w:ilvl w:val="0"/>
                <w:numId w:val="0"/>
              </w:numPr>
              <w:jc w:val="both"/>
              <w:rPr>
                <w:rFonts w:hint="eastAsia" w:ascii="宋体" w:hAnsi="宋体" w:eastAsia="宋体" w:cs="宋体"/>
                <w:color w:val="auto"/>
                <w:sz w:val="21"/>
                <w:szCs w:val="21"/>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p>
        </w:tc>
        <w:tc>
          <w:tcPr>
            <w:tcW w:w="4337" w:type="dxa"/>
          </w:tcPr>
          <w:p>
            <w:pPr>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val="en-US" w:eastAsia="zh-CN"/>
              </w:rPr>
              <w:t>产品交付时，成交供应商须</w:t>
            </w:r>
            <w:r>
              <w:rPr>
                <w:rFonts w:hint="eastAsia" w:ascii="宋体" w:hAnsi="宋体" w:eastAsia="宋体" w:cs="宋体"/>
                <w:color w:val="auto"/>
                <w:sz w:val="21"/>
                <w:szCs w:val="21"/>
              </w:rPr>
              <w:t>完成仪器</w:t>
            </w:r>
            <w:r>
              <w:rPr>
                <w:rFonts w:hint="eastAsia" w:ascii="宋体" w:hAnsi="宋体" w:eastAsia="宋体" w:cs="宋体"/>
                <w:color w:val="auto"/>
                <w:sz w:val="21"/>
                <w:szCs w:val="21"/>
                <w:lang w:val="en-US" w:eastAsia="zh-CN"/>
              </w:rPr>
              <w:t>装机调试和仪器</w:t>
            </w:r>
            <w:r>
              <w:rPr>
                <w:rFonts w:hint="eastAsia" w:ascii="宋体" w:hAnsi="宋体" w:eastAsia="宋体" w:cs="宋体"/>
                <w:color w:val="auto"/>
                <w:sz w:val="21"/>
                <w:szCs w:val="21"/>
              </w:rPr>
              <w:t>启用前的性能验证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仪器性能符合</w:t>
            </w:r>
            <w:r>
              <w:rPr>
                <w:rFonts w:hint="eastAsia" w:ascii="宋体" w:hAnsi="宋体" w:eastAsia="宋体" w:cs="宋体"/>
                <w:color w:val="auto"/>
                <w:sz w:val="21"/>
                <w:szCs w:val="21"/>
              </w:rPr>
              <w:t>相关行业标准和实验室管理要求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并出具仪器安装报告</w:t>
            </w:r>
            <w:r>
              <w:rPr>
                <w:rFonts w:hint="eastAsia" w:ascii="宋体" w:hAnsi="宋体" w:eastAsia="宋体" w:cs="宋体"/>
                <w:color w:val="auto"/>
                <w:sz w:val="21"/>
                <w:szCs w:val="21"/>
              </w:rPr>
              <w:t>。</w:t>
            </w:r>
          </w:p>
        </w:tc>
        <w:tc>
          <w:tcPr>
            <w:tcW w:w="1355" w:type="dxa"/>
          </w:tcPr>
          <w:p>
            <w:pPr>
              <w:numPr>
                <w:ilvl w:val="0"/>
                <w:numId w:val="0"/>
              </w:numPr>
              <w:jc w:val="both"/>
              <w:rPr>
                <w:rFonts w:hint="eastAsia" w:ascii="宋体" w:hAnsi="宋体" w:eastAsia="宋体" w:cs="宋体"/>
                <w:color w:val="auto"/>
                <w:sz w:val="21"/>
                <w:szCs w:val="21"/>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338"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4337" w:type="dxa"/>
          </w:tcPr>
          <w:p>
            <w:pPr>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如因供应商原因出现明显漏项、缺项等直接或间接过失造成采购人损失的，采购人保留追究相应责任的权利。</w:t>
            </w:r>
          </w:p>
        </w:tc>
        <w:tc>
          <w:tcPr>
            <w:tcW w:w="1355" w:type="dxa"/>
          </w:tcPr>
          <w:p>
            <w:pPr>
              <w:numPr>
                <w:ilvl w:val="0"/>
                <w:numId w:val="0"/>
              </w:numPr>
              <w:jc w:val="both"/>
              <w:rPr>
                <w:rFonts w:hint="eastAsia" w:ascii="宋体" w:hAnsi="宋体" w:eastAsia="宋体" w:cs="宋体"/>
                <w:color w:val="auto"/>
                <w:sz w:val="21"/>
                <w:szCs w:val="21"/>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w:t>
            </w:r>
          </w:p>
        </w:tc>
        <w:tc>
          <w:tcPr>
            <w:tcW w:w="4337"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eastAsia="zh-CN"/>
              </w:rPr>
              <w:t>成交供应商</w:t>
            </w:r>
            <w:r>
              <w:rPr>
                <w:rFonts w:hint="eastAsia" w:ascii="宋体" w:hAnsi="宋体" w:eastAsia="宋体" w:cs="宋体"/>
                <w:color w:val="auto"/>
                <w:sz w:val="21"/>
                <w:szCs w:val="21"/>
              </w:rPr>
              <w:t>必须在中国境内有售后服务机构，并附有售后服务能力说明。</w:t>
            </w:r>
          </w:p>
        </w:tc>
        <w:tc>
          <w:tcPr>
            <w:tcW w:w="1355" w:type="dxa"/>
          </w:tcPr>
          <w:p>
            <w:pPr>
              <w:numPr>
                <w:ilvl w:val="0"/>
                <w:numId w:val="0"/>
              </w:numPr>
              <w:jc w:val="both"/>
              <w:rPr>
                <w:rFonts w:hint="eastAsia" w:ascii="宋体" w:hAnsi="宋体" w:eastAsia="宋体" w:cs="宋体"/>
                <w:color w:val="auto"/>
                <w:sz w:val="21"/>
                <w:szCs w:val="21"/>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w:t>
            </w:r>
          </w:p>
        </w:tc>
        <w:tc>
          <w:tcPr>
            <w:tcW w:w="4337" w:type="dxa"/>
          </w:tcPr>
          <w:p>
            <w:pPr>
              <w:spacing w:line="440" w:lineRule="exact"/>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★2.2</w:t>
            </w:r>
            <w:r>
              <w:rPr>
                <w:rFonts w:hint="eastAsia" w:ascii="宋体" w:hAnsi="宋体" w:eastAsia="宋体" w:cs="宋体"/>
                <w:color w:val="auto"/>
                <w:sz w:val="21"/>
                <w:szCs w:val="21"/>
                <w:lang w:eastAsia="zh-CN"/>
              </w:rPr>
              <w:t>成交供应商</w:t>
            </w:r>
            <w:r>
              <w:rPr>
                <w:rFonts w:hint="eastAsia" w:ascii="宋体" w:hAnsi="宋体" w:eastAsia="宋体" w:cs="宋体"/>
                <w:color w:val="auto"/>
                <w:sz w:val="21"/>
                <w:szCs w:val="21"/>
              </w:rPr>
              <w:t>须提供设备原厂质保（设备原厂质量保修范围和保修期）至少</w:t>
            </w:r>
            <w:r>
              <w:rPr>
                <w:rFonts w:hint="eastAsia" w:ascii="宋体" w:hAnsi="宋体" w:eastAsia="宋体" w:cs="宋体"/>
                <w:color w:val="auto"/>
                <w:sz w:val="21"/>
                <w:szCs w:val="21"/>
                <w:highlight w:val="yellow"/>
              </w:rPr>
              <w:t>为</w:t>
            </w:r>
            <w:r>
              <w:rPr>
                <w:rFonts w:hint="eastAsia" w:ascii="宋体" w:hAnsi="宋体" w:eastAsia="宋体" w:cs="宋体"/>
                <w:color w:val="auto"/>
                <w:sz w:val="21"/>
                <w:szCs w:val="21"/>
                <w:highlight w:val="yellow"/>
                <w:u w:val="single"/>
                <w:lang w:val="en-US" w:eastAsia="zh-CN"/>
              </w:rPr>
              <w:t>5</w:t>
            </w:r>
            <w:r>
              <w:rPr>
                <w:rFonts w:hint="eastAsia" w:ascii="宋体" w:hAnsi="宋体" w:eastAsia="宋体" w:cs="宋体"/>
                <w:color w:val="auto"/>
                <w:sz w:val="21"/>
                <w:szCs w:val="21"/>
                <w:highlight w:val="yellow"/>
              </w:rPr>
              <w:t>年</w:t>
            </w:r>
            <w:r>
              <w:rPr>
                <w:rFonts w:hint="eastAsia" w:ascii="宋体" w:hAnsi="宋体" w:eastAsia="宋体" w:cs="宋体"/>
                <w:color w:val="auto"/>
                <w:sz w:val="21"/>
                <w:szCs w:val="21"/>
              </w:rPr>
              <w:t>。</w:t>
            </w:r>
          </w:p>
        </w:tc>
        <w:tc>
          <w:tcPr>
            <w:tcW w:w="1355" w:type="dxa"/>
          </w:tcPr>
          <w:p>
            <w:pPr>
              <w:numPr>
                <w:ilvl w:val="0"/>
                <w:numId w:val="0"/>
              </w:numPr>
              <w:jc w:val="both"/>
              <w:rPr>
                <w:rFonts w:hint="eastAsia" w:ascii="宋体" w:hAnsi="宋体" w:eastAsia="宋体" w:cs="宋体"/>
                <w:color w:val="auto"/>
                <w:sz w:val="21"/>
                <w:szCs w:val="21"/>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11</w:t>
            </w:r>
          </w:p>
        </w:tc>
        <w:tc>
          <w:tcPr>
            <w:tcW w:w="4337" w:type="dxa"/>
          </w:tcPr>
          <w:p>
            <w:pPr>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在售后期内，</w:t>
            </w:r>
            <w:r>
              <w:rPr>
                <w:rFonts w:hint="eastAsia" w:ascii="宋体" w:hAnsi="宋体" w:eastAsia="宋体" w:cs="宋体"/>
                <w:color w:val="auto"/>
                <w:sz w:val="21"/>
                <w:szCs w:val="21"/>
                <w:lang w:eastAsia="zh-CN"/>
              </w:rPr>
              <w:t>成交供应商</w:t>
            </w:r>
            <w:r>
              <w:rPr>
                <w:rFonts w:hint="eastAsia" w:ascii="宋体" w:hAnsi="宋体" w:eastAsia="宋体" w:cs="宋体"/>
                <w:color w:val="auto"/>
                <w:sz w:val="21"/>
                <w:szCs w:val="21"/>
              </w:rPr>
              <w:t>在接到用户的维修通知，响应时间为半小时内，工程师到达现场时间为4小时内，排除故障时限为到达现场后8小时内。</w:t>
            </w:r>
          </w:p>
        </w:tc>
        <w:tc>
          <w:tcPr>
            <w:tcW w:w="1355" w:type="dxa"/>
          </w:tcPr>
          <w:p>
            <w:pPr>
              <w:numPr>
                <w:ilvl w:val="0"/>
                <w:numId w:val="0"/>
              </w:numPr>
              <w:jc w:val="both"/>
              <w:rPr>
                <w:rFonts w:hint="eastAsia" w:ascii="宋体" w:hAnsi="宋体" w:eastAsia="宋体" w:cs="宋体"/>
                <w:color w:val="auto"/>
                <w:sz w:val="21"/>
                <w:szCs w:val="21"/>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w:t>
            </w:r>
          </w:p>
        </w:tc>
        <w:tc>
          <w:tcPr>
            <w:tcW w:w="4337"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如果产品故障在检修12小时后仍无法排除，</w:t>
            </w:r>
            <w:r>
              <w:rPr>
                <w:rFonts w:hint="eastAsia" w:ascii="宋体" w:hAnsi="宋体" w:eastAsia="宋体" w:cs="宋体"/>
                <w:color w:val="auto"/>
                <w:sz w:val="21"/>
                <w:szCs w:val="21"/>
                <w:lang w:eastAsia="zh-CN"/>
              </w:rPr>
              <w:t>成交供应商</w:t>
            </w:r>
            <w:r>
              <w:rPr>
                <w:rFonts w:hint="eastAsia" w:ascii="宋体" w:hAnsi="宋体" w:eastAsia="宋体" w:cs="宋体"/>
                <w:color w:val="auto"/>
                <w:sz w:val="21"/>
                <w:szCs w:val="21"/>
              </w:rPr>
              <w:t>应在24小时内提供不低于故障产品规格型号档次的备用产品供采购人使用，直至故障产品修复。</w:t>
            </w:r>
          </w:p>
        </w:tc>
        <w:tc>
          <w:tcPr>
            <w:tcW w:w="1355" w:type="dxa"/>
          </w:tcPr>
          <w:p>
            <w:pPr>
              <w:numPr>
                <w:ilvl w:val="0"/>
                <w:numId w:val="0"/>
              </w:numPr>
              <w:jc w:val="both"/>
              <w:rPr>
                <w:rFonts w:hint="eastAsia" w:ascii="宋体" w:hAnsi="宋体" w:eastAsia="宋体" w:cs="宋体"/>
                <w:color w:val="auto"/>
                <w:sz w:val="21"/>
                <w:szCs w:val="21"/>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13</w:t>
            </w:r>
          </w:p>
        </w:tc>
        <w:tc>
          <w:tcPr>
            <w:tcW w:w="4337" w:type="dxa"/>
          </w:tcPr>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★本合同的每笔款项以人民币转账方式支付，合同设备到采购人指定地点交付并完成安装，验收合格后，</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单位凭：</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（1）合同；</w:t>
            </w:r>
          </w:p>
          <w:p>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（2）验收调试合格报告（加盖采购人公章）；</w:t>
            </w:r>
          </w:p>
          <w:p>
            <w:pPr>
              <w:numPr>
                <w:ilvl w:val="0"/>
                <w:numId w:val="0"/>
              </w:numPr>
              <w:spacing w:line="240" w:lineRule="auto"/>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开具的正式发票（加盖发票专用章）。</w:t>
            </w:r>
          </w:p>
        </w:tc>
        <w:tc>
          <w:tcPr>
            <w:tcW w:w="1355" w:type="dxa"/>
          </w:tcPr>
          <w:p>
            <w:pPr>
              <w:numPr>
                <w:ilvl w:val="0"/>
                <w:numId w:val="0"/>
              </w:numPr>
              <w:jc w:val="both"/>
              <w:rPr>
                <w:rFonts w:hint="eastAsia" w:ascii="宋体" w:hAnsi="宋体" w:eastAsia="宋体" w:cs="宋体"/>
                <w:color w:val="auto"/>
                <w:sz w:val="21"/>
                <w:szCs w:val="21"/>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1338" w:type="dxa"/>
          </w:tcPr>
          <w:p>
            <w:pPr>
              <w:numPr>
                <w:ilvl w:val="0"/>
                <w:numId w:val="0"/>
              </w:num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14</w:t>
            </w:r>
          </w:p>
        </w:tc>
        <w:tc>
          <w:tcPr>
            <w:tcW w:w="4337" w:type="dxa"/>
          </w:tcPr>
          <w:p>
            <w:pPr>
              <w:spacing w:line="240" w:lineRule="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具体付款方式：本合同分三期支付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第一期：</w:t>
            </w:r>
            <w:r>
              <w:rPr>
                <w:rFonts w:hint="eastAsia" w:ascii="宋体" w:hAnsi="宋体" w:eastAsia="宋体" w:cs="宋体"/>
                <w:color w:val="auto"/>
                <w:sz w:val="21"/>
                <w:szCs w:val="21"/>
                <w:highlight w:val="none"/>
              </w:rPr>
              <w:t>合同签订后，</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提供合同总金额20%的款项预收款收据，</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支付该笔预付款；</w:t>
            </w:r>
            <w:r>
              <w:rPr>
                <w:rFonts w:hint="eastAsia" w:ascii="宋体" w:hAnsi="宋体" w:eastAsia="宋体" w:cs="宋体"/>
                <w:color w:val="auto"/>
                <w:sz w:val="21"/>
                <w:szCs w:val="21"/>
                <w:highlight w:val="none"/>
                <w:lang w:val="en-US" w:eastAsia="zh-CN"/>
              </w:rPr>
              <w:t>第二期：</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按合同协议时间提供设备，并经协议规定的验收机构书面确认验收合格后，开具全额发票，采购人确认发票无误后一个月内支付合同总金额的75%；</w:t>
            </w:r>
            <w:r>
              <w:rPr>
                <w:rFonts w:hint="eastAsia" w:ascii="宋体" w:hAnsi="宋体" w:eastAsia="宋体" w:cs="宋体"/>
                <w:color w:val="auto"/>
                <w:sz w:val="21"/>
                <w:szCs w:val="21"/>
                <w:highlight w:val="none"/>
                <w:lang w:val="en-US" w:eastAsia="zh-CN"/>
              </w:rPr>
              <w:t>第三期：</w:t>
            </w:r>
            <w:r>
              <w:rPr>
                <w:rFonts w:hint="eastAsia" w:ascii="宋体" w:hAnsi="宋体" w:eastAsia="宋体" w:cs="宋体"/>
                <w:color w:val="auto"/>
                <w:sz w:val="21"/>
                <w:szCs w:val="21"/>
                <w:highlight w:val="none"/>
              </w:rPr>
              <w:t>合同总金额的5%在</w:t>
            </w:r>
            <w:r>
              <w:rPr>
                <w:rFonts w:hint="eastAsia" w:ascii="宋体" w:hAnsi="宋体" w:eastAsia="宋体" w:cs="宋体"/>
                <w:color w:val="auto"/>
                <w:sz w:val="21"/>
                <w:szCs w:val="21"/>
                <w:highlight w:val="none"/>
                <w:lang w:val="en-US" w:eastAsia="zh-CN"/>
              </w:rPr>
              <w:t>书面确认验收合格之日起5年</w:t>
            </w:r>
            <w:r>
              <w:rPr>
                <w:rFonts w:hint="eastAsia" w:ascii="宋体" w:hAnsi="宋体" w:eastAsia="宋体" w:cs="宋体"/>
                <w:color w:val="auto"/>
                <w:sz w:val="21"/>
                <w:szCs w:val="21"/>
                <w:highlight w:val="none"/>
              </w:rPr>
              <w:t>后一次性</w:t>
            </w:r>
            <w:r>
              <w:rPr>
                <w:rFonts w:hint="eastAsia" w:ascii="宋体" w:hAnsi="宋体" w:eastAsia="宋体" w:cs="宋体"/>
                <w:color w:val="auto"/>
                <w:sz w:val="21"/>
                <w:szCs w:val="21"/>
                <w:highlight w:val="none"/>
                <w:lang w:val="en-US" w:eastAsia="zh-CN"/>
              </w:rPr>
              <w:t>无息支付</w:t>
            </w:r>
            <w:r>
              <w:rPr>
                <w:rFonts w:hint="eastAsia" w:ascii="宋体" w:hAnsi="宋体" w:eastAsia="宋体" w:cs="宋体"/>
                <w:color w:val="auto"/>
                <w:sz w:val="21"/>
                <w:szCs w:val="21"/>
                <w:highlight w:val="none"/>
              </w:rPr>
              <w:t>。</w:t>
            </w:r>
          </w:p>
        </w:tc>
        <w:tc>
          <w:tcPr>
            <w:tcW w:w="1355" w:type="dxa"/>
          </w:tcPr>
          <w:p>
            <w:pPr>
              <w:numPr>
                <w:ilvl w:val="0"/>
                <w:numId w:val="0"/>
              </w:numPr>
              <w:jc w:val="both"/>
              <w:rPr>
                <w:rFonts w:hint="eastAsia" w:ascii="宋体" w:hAnsi="宋体" w:eastAsia="宋体" w:cs="宋体"/>
                <w:color w:val="auto"/>
                <w:sz w:val="21"/>
                <w:szCs w:val="21"/>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vertAlign w:val="baseline"/>
                <w:lang w:val="en-US" w:eastAsia="zh-CN"/>
              </w:rPr>
            </w:pPr>
          </w:p>
        </w:tc>
      </w:tr>
    </w:tbl>
    <w:p>
      <w:pPr>
        <w:jc w:val="center"/>
        <w:rPr>
          <w:rFonts w:hint="eastAsia" w:ascii="宋体" w:hAnsi="宋体"/>
          <w:b/>
          <w:color w:val="auto"/>
          <w:kern w:val="28"/>
          <w:sz w:val="44"/>
          <w:szCs w:val="36"/>
        </w:rPr>
      </w:pPr>
      <w:bookmarkStart w:id="0" w:name="_GoBack"/>
      <w:bookmarkEnd w:id="0"/>
    </w:p>
    <w:p>
      <w:pPr>
        <w:jc w:val="center"/>
        <w:rPr>
          <w:rFonts w:hint="eastAsia" w:ascii="宋体" w:hAnsi="宋体"/>
          <w:b/>
          <w:color w:val="auto"/>
          <w:kern w:val="28"/>
          <w:sz w:val="44"/>
          <w:szCs w:val="36"/>
        </w:rPr>
      </w:pPr>
    </w:p>
    <w:p>
      <w:pPr>
        <w:jc w:val="both"/>
        <w:rPr>
          <w:rFonts w:hint="eastAsia" w:ascii="宋体" w:hAnsi="宋体"/>
          <w:b/>
          <w:color w:val="auto"/>
          <w:kern w:val="28"/>
          <w:sz w:val="44"/>
          <w:szCs w:val="36"/>
        </w:rPr>
        <w:sectPr>
          <w:footerReference r:id="rId3" w:type="default"/>
          <w:pgSz w:w="11906" w:h="16838"/>
          <w:pgMar w:top="1440" w:right="1800" w:bottom="1440" w:left="1800" w:header="851" w:footer="425" w:gutter="0"/>
          <w:cols w:space="425" w:num="1"/>
          <w:docGrid w:type="lines" w:linePitch="312" w:charSpace="0"/>
        </w:sectPr>
      </w:pPr>
    </w:p>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p>
      <w:pPr>
        <w:rPr>
          <w:rFonts w:hint="eastAsia"/>
          <w:sz w:val="24"/>
          <w:szCs w:val="24"/>
          <w:lang w:eastAsia="zh-CN"/>
        </w:rPr>
      </w:pPr>
      <w:r>
        <w:rPr>
          <w:rFonts w:hint="eastAsia"/>
          <w:sz w:val="24"/>
          <w:szCs w:val="24"/>
          <w:lang w:eastAsia="zh-CN"/>
        </w:rPr>
        <w:t>《</w:t>
      </w:r>
      <w:r>
        <w:rPr>
          <w:rFonts w:hint="eastAsia"/>
          <w:sz w:val="24"/>
          <w:szCs w:val="24"/>
        </w:rPr>
        <w:t>试剂耗材询价情况一览表</w:t>
      </w:r>
      <w:r>
        <w:rPr>
          <w:rFonts w:hint="eastAsia"/>
          <w:sz w:val="24"/>
          <w:szCs w:val="24"/>
          <w:lang w:eastAsia="zh-CN"/>
        </w:rPr>
        <w:t>》</w:t>
      </w:r>
    </w:p>
    <w:tbl>
      <w:tblPr>
        <w:tblStyle w:val="12"/>
        <w:tblpPr w:leftFromText="180" w:rightFromText="180" w:vertAnchor="page" w:horzAnchor="page" w:tblpX="1008" w:tblpY="2601"/>
        <w:tblOverlap w:val="never"/>
        <w:tblW w:w="14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27"/>
        <w:gridCol w:w="1051"/>
        <w:gridCol w:w="1158"/>
        <w:gridCol w:w="1183"/>
        <w:gridCol w:w="1409"/>
        <w:gridCol w:w="1490"/>
        <w:gridCol w:w="1334"/>
        <w:gridCol w:w="1673"/>
        <w:gridCol w:w="1142"/>
        <w:gridCol w:w="1142"/>
        <w:gridCol w:w="1142"/>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55" w:hRule="atLeast"/>
        </w:trPr>
        <w:tc>
          <w:tcPr>
            <w:tcW w:w="627" w:type="dxa"/>
            <w:shd w:val="clear" w:color="auto" w:fill="auto"/>
            <w:noWrap/>
            <w:vAlign w:val="center"/>
          </w:tcPr>
          <w:p>
            <w:pPr>
              <w:bidi w:val="0"/>
              <w:rPr>
                <w:rFonts w:hint="eastAsia"/>
                <w:lang w:val="en-US" w:eastAsia="zh-CN"/>
              </w:rPr>
            </w:pPr>
          </w:p>
          <w:p>
            <w:pPr>
              <w:bidi w:val="0"/>
              <w:jc w:val="left"/>
              <w:rPr>
                <w:rFonts w:hint="default"/>
                <w:lang w:val="en-US" w:eastAsia="zh-CN"/>
              </w:rPr>
            </w:pPr>
            <w:r>
              <w:rPr>
                <w:rFonts w:hint="eastAsia"/>
                <w:lang w:val="en-US" w:eastAsia="zh-CN"/>
              </w:rPr>
              <w:t>序号</w:t>
            </w:r>
          </w:p>
        </w:tc>
        <w:tc>
          <w:tcPr>
            <w:tcW w:w="105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项目名称</w:t>
            </w:r>
          </w:p>
        </w:tc>
        <w:tc>
          <w:tcPr>
            <w:tcW w:w="11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收费编码以及收费标准</w:t>
            </w:r>
          </w:p>
        </w:tc>
        <w:tc>
          <w:tcPr>
            <w:tcW w:w="118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产品名称</w:t>
            </w:r>
          </w:p>
        </w:tc>
        <w:tc>
          <w:tcPr>
            <w:tcW w:w="14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规格型号</w:t>
            </w:r>
          </w:p>
        </w:tc>
        <w:tc>
          <w:tcPr>
            <w:tcW w:w="149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产品注册证</w:t>
            </w:r>
          </w:p>
        </w:tc>
        <w:tc>
          <w:tcPr>
            <w:tcW w:w="133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药交ID</w:t>
            </w:r>
          </w:p>
        </w:tc>
        <w:tc>
          <w:tcPr>
            <w:tcW w:w="167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产品编码</w:t>
            </w:r>
          </w:p>
        </w:tc>
        <w:tc>
          <w:tcPr>
            <w:tcW w:w="1142"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sz w:val="21"/>
                <w:szCs w:val="21"/>
                <w:highlight w:val="none"/>
                <w:lang w:val="en-US" w:eastAsia="zh-CN"/>
              </w:rPr>
              <w:t>价格（报价不得省平台价格）</w:t>
            </w:r>
          </w:p>
        </w:tc>
        <w:tc>
          <w:tcPr>
            <w:tcW w:w="114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sz w:val="21"/>
                <w:szCs w:val="21"/>
              </w:rPr>
              <w:t>可供多少人使用</w:t>
            </w:r>
          </w:p>
        </w:tc>
        <w:tc>
          <w:tcPr>
            <w:tcW w:w="114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1"/>
                <w:szCs w:val="21"/>
                <w:u w:val="none"/>
                <w:lang w:val="en-US" w:eastAsia="zh-CN" w:bidi="ar"/>
              </w:rPr>
              <w:t>每人次单价（元）</w:t>
            </w:r>
          </w:p>
        </w:tc>
        <w:tc>
          <w:tcPr>
            <w:tcW w:w="114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总单价（完成一个测试每人</w:t>
            </w:r>
            <w:r>
              <w:rPr>
                <w:rFonts w:hint="eastAsia" w:ascii="宋体" w:hAnsi="宋体" w:cs="宋体"/>
                <w:i w:val="0"/>
                <w:iCs w:val="0"/>
                <w:color w:val="000000"/>
                <w:kern w:val="0"/>
                <w:sz w:val="21"/>
                <w:szCs w:val="21"/>
                <w:u w:val="none"/>
                <w:lang w:val="en-US" w:eastAsia="zh-CN" w:bidi="ar"/>
              </w:rPr>
              <w:t>次</w:t>
            </w:r>
            <w:r>
              <w:rPr>
                <w:rFonts w:hint="eastAsia" w:ascii="宋体" w:hAnsi="宋体" w:eastAsia="宋体" w:cs="宋体"/>
                <w:i w:val="0"/>
                <w:iCs w:val="0"/>
                <w:color w:val="000000"/>
                <w:kern w:val="0"/>
                <w:sz w:val="21"/>
                <w:szCs w:val="21"/>
                <w:u w:val="none"/>
                <w:lang w:val="en-US" w:eastAsia="zh-CN" w:bidi="ar"/>
              </w:rPr>
              <w:t>所需价格）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627" w:type="dxa"/>
            <w:vMerge w:val="restart"/>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1051" w:type="dxa"/>
            <w:vMerge w:val="restart"/>
            <w:shd w:val="clear" w:color="auto" w:fill="auto"/>
            <w:noWrap/>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糖化血红蛋白测定-色谱法</w:t>
            </w:r>
          </w:p>
        </w:tc>
        <w:tc>
          <w:tcPr>
            <w:tcW w:w="1158" w:type="dxa"/>
            <w:vMerge w:val="restart"/>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250302003-1</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71元</w:t>
            </w:r>
          </w:p>
        </w:tc>
        <w:tc>
          <w:tcPr>
            <w:tcW w:w="1183"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糖化血红蛋白层析柱</w:t>
            </w:r>
          </w:p>
        </w:tc>
        <w:tc>
          <w:tcPr>
            <w:tcW w:w="140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xxx</w:t>
            </w:r>
          </w:p>
        </w:tc>
        <w:tc>
          <w:tcPr>
            <w:tcW w:w="1490"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xxx</w:t>
            </w:r>
          </w:p>
        </w:tc>
        <w:tc>
          <w:tcPr>
            <w:tcW w:w="1334"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xxx</w:t>
            </w:r>
          </w:p>
        </w:tc>
        <w:tc>
          <w:tcPr>
            <w:tcW w:w="1673"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xxx</w:t>
            </w:r>
          </w:p>
        </w:tc>
        <w:tc>
          <w:tcPr>
            <w:tcW w:w="1142"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180元</w:t>
            </w:r>
          </w:p>
        </w:tc>
        <w:tc>
          <w:tcPr>
            <w:tcW w:w="1142"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10人</w:t>
            </w:r>
          </w:p>
        </w:tc>
        <w:tc>
          <w:tcPr>
            <w:tcW w:w="1142"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18元</w:t>
            </w:r>
          </w:p>
        </w:tc>
        <w:tc>
          <w:tcPr>
            <w:tcW w:w="1142" w:type="dxa"/>
            <w:vMerge w:val="restar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627" w:type="dxa"/>
            <w:vMerge w:val="continue"/>
            <w:shd w:val="clear" w:color="auto" w:fill="auto"/>
            <w:noWrap/>
            <w:vAlign w:val="center"/>
          </w:tcPr>
          <w:p>
            <w:pPr>
              <w:jc w:val="center"/>
              <w:rPr>
                <w:rFonts w:hint="eastAsia" w:ascii="宋体" w:hAnsi="宋体" w:eastAsia="宋体" w:cs="宋体"/>
                <w:i w:val="0"/>
                <w:iCs w:val="0"/>
                <w:color w:val="000000"/>
                <w:sz w:val="24"/>
                <w:szCs w:val="24"/>
                <w:u w:val="none"/>
                <w:lang w:val="en-US" w:eastAsia="zh-CN"/>
              </w:rPr>
            </w:pPr>
          </w:p>
        </w:tc>
        <w:tc>
          <w:tcPr>
            <w:tcW w:w="1051" w:type="dxa"/>
            <w:vMerge w:val="continue"/>
            <w:shd w:val="clear" w:color="auto" w:fill="auto"/>
            <w:noWrap/>
            <w:vAlign w:val="center"/>
          </w:tcPr>
          <w:p>
            <w:pPr>
              <w:jc w:val="center"/>
              <w:rPr>
                <w:rFonts w:hint="eastAsia" w:ascii="宋体" w:hAnsi="宋体" w:eastAsia="宋体" w:cs="宋体"/>
                <w:i w:val="0"/>
                <w:iCs w:val="0"/>
                <w:color w:val="000000"/>
                <w:sz w:val="24"/>
                <w:szCs w:val="24"/>
                <w:u w:val="none"/>
                <w:lang w:val="en-US" w:eastAsia="zh-CN"/>
              </w:rPr>
            </w:pPr>
          </w:p>
        </w:tc>
        <w:tc>
          <w:tcPr>
            <w:tcW w:w="1158" w:type="dxa"/>
            <w:vMerge w:val="continue"/>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183"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糖化血红蛋白溶血剂</w:t>
            </w:r>
          </w:p>
        </w:tc>
        <w:tc>
          <w:tcPr>
            <w:tcW w:w="140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xxx</w:t>
            </w:r>
          </w:p>
        </w:tc>
        <w:tc>
          <w:tcPr>
            <w:tcW w:w="1490"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xxx</w:t>
            </w:r>
          </w:p>
        </w:tc>
        <w:tc>
          <w:tcPr>
            <w:tcW w:w="1334"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xxx</w:t>
            </w:r>
          </w:p>
        </w:tc>
        <w:tc>
          <w:tcPr>
            <w:tcW w:w="1673"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xxx</w:t>
            </w:r>
          </w:p>
        </w:tc>
        <w:tc>
          <w:tcPr>
            <w:tcW w:w="1142"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2元</w:t>
            </w:r>
          </w:p>
        </w:tc>
        <w:tc>
          <w:tcPr>
            <w:tcW w:w="1142"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1人</w:t>
            </w:r>
          </w:p>
        </w:tc>
        <w:tc>
          <w:tcPr>
            <w:tcW w:w="1142"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2元</w:t>
            </w:r>
          </w:p>
        </w:tc>
        <w:tc>
          <w:tcPr>
            <w:tcW w:w="1142" w:type="dxa"/>
            <w:vMerge w:val="continue"/>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5" w:hRule="atLeast"/>
        </w:trPr>
        <w:tc>
          <w:tcPr>
            <w:tcW w:w="627" w:type="dxa"/>
            <w:shd w:val="clear" w:color="auto" w:fill="auto"/>
            <w:noWrap/>
            <w:vAlign w:val="center"/>
          </w:tcPr>
          <w:p>
            <w:pPr>
              <w:jc w:val="center"/>
              <w:rPr>
                <w:rFonts w:hint="eastAsia" w:ascii="宋体" w:hAnsi="宋体" w:eastAsia="宋体" w:cs="宋体"/>
                <w:i w:val="0"/>
                <w:iCs w:val="0"/>
                <w:color w:val="000000"/>
                <w:sz w:val="24"/>
                <w:szCs w:val="24"/>
                <w:u w:val="none"/>
                <w:lang w:val="en-US" w:eastAsia="zh-CN"/>
              </w:rPr>
            </w:pPr>
          </w:p>
        </w:tc>
        <w:tc>
          <w:tcPr>
            <w:tcW w:w="1051" w:type="dxa"/>
            <w:shd w:val="clear" w:color="auto" w:fill="auto"/>
            <w:noWrap/>
            <w:vAlign w:val="center"/>
          </w:tcPr>
          <w:p>
            <w:pPr>
              <w:jc w:val="center"/>
              <w:rPr>
                <w:rFonts w:hint="eastAsia" w:ascii="宋体" w:hAnsi="宋体" w:eastAsia="宋体" w:cs="宋体"/>
                <w:i w:val="0"/>
                <w:iCs w:val="0"/>
                <w:color w:val="000000"/>
                <w:sz w:val="24"/>
                <w:szCs w:val="24"/>
                <w:u w:val="none"/>
                <w:lang w:val="en-US" w:eastAsia="zh-CN"/>
              </w:rPr>
            </w:pPr>
          </w:p>
        </w:tc>
        <w:tc>
          <w:tcPr>
            <w:tcW w:w="11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183"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40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49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4" w:type="dxa"/>
            <w:shd w:val="clear" w:color="auto" w:fill="auto"/>
            <w:noWrap/>
            <w:vAlign w:val="center"/>
          </w:tcPr>
          <w:p>
            <w:pPr>
              <w:jc w:val="center"/>
              <w:rPr>
                <w:rFonts w:hint="eastAsia" w:ascii="宋体" w:hAnsi="宋体" w:eastAsia="宋体" w:cs="宋体"/>
                <w:i w:val="0"/>
                <w:iCs w:val="0"/>
                <w:color w:val="000000"/>
                <w:sz w:val="24"/>
                <w:szCs w:val="24"/>
                <w:u w:val="none"/>
                <w:lang w:val="en-US" w:eastAsia="zh-CN"/>
              </w:rPr>
            </w:pPr>
          </w:p>
        </w:tc>
        <w:tc>
          <w:tcPr>
            <w:tcW w:w="1673"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c>
          <w:tcPr>
            <w:tcW w:w="1142"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c>
          <w:tcPr>
            <w:tcW w:w="1142"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c>
          <w:tcPr>
            <w:tcW w:w="1142"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c>
          <w:tcPr>
            <w:tcW w:w="1142"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627" w:type="dxa"/>
            <w:shd w:val="clear" w:color="auto" w:fill="auto"/>
            <w:noWrap/>
            <w:vAlign w:val="center"/>
          </w:tcPr>
          <w:p>
            <w:pPr>
              <w:jc w:val="center"/>
              <w:rPr>
                <w:rFonts w:hint="eastAsia" w:ascii="宋体" w:hAnsi="宋体" w:cs="宋体"/>
                <w:i w:val="0"/>
                <w:iCs w:val="0"/>
                <w:color w:val="000000"/>
                <w:sz w:val="24"/>
                <w:szCs w:val="24"/>
                <w:u w:val="none"/>
                <w:lang w:val="en-US" w:eastAsia="zh-CN"/>
              </w:rPr>
            </w:pPr>
          </w:p>
        </w:tc>
        <w:tc>
          <w:tcPr>
            <w:tcW w:w="1051"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c>
          <w:tcPr>
            <w:tcW w:w="115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183"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40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49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34" w:type="dxa"/>
            <w:shd w:val="clear" w:color="auto" w:fill="auto"/>
            <w:noWrap/>
            <w:vAlign w:val="center"/>
          </w:tcPr>
          <w:p>
            <w:pPr>
              <w:jc w:val="center"/>
              <w:rPr>
                <w:rFonts w:hint="eastAsia" w:ascii="宋体" w:hAnsi="宋体" w:eastAsia="宋体" w:cs="宋体"/>
                <w:i w:val="0"/>
                <w:iCs w:val="0"/>
                <w:color w:val="000000"/>
                <w:sz w:val="24"/>
                <w:szCs w:val="24"/>
                <w:u w:val="none"/>
                <w:lang w:val="en-US" w:eastAsia="zh-CN"/>
              </w:rPr>
            </w:pPr>
          </w:p>
        </w:tc>
        <w:tc>
          <w:tcPr>
            <w:tcW w:w="1673"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c>
          <w:tcPr>
            <w:tcW w:w="1142"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c>
          <w:tcPr>
            <w:tcW w:w="1142"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c>
          <w:tcPr>
            <w:tcW w:w="1142"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c>
          <w:tcPr>
            <w:tcW w:w="1142"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r>
    </w:tbl>
    <w:p>
      <w:pPr>
        <w:pStyle w:val="2"/>
        <w:rPr>
          <w:rFonts w:ascii="仿宋" w:hAnsi="仿宋" w:eastAsia="仿宋" w:cs="仿宋"/>
          <w:color w:val="auto"/>
          <w:sz w:val="24"/>
          <w:highlight w:val="cyan"/>
          <w:lang w:val="zh-CN"/>
        </w:rPr>
      </w:pPr>
      <w:r>
        <w:rPr>
          <w:rFonts w:hint="eastAsia"/>
          <w:color w:val="auto"/>
        </w:rPr>
        <w:t>医用核酸分子杂交仪</w:t>
      </w:r>
      <w:r>
        <w:rPr>
          <w:rFonts w:hint="eastAsia"/>
          <w:color w:val="auto"/>
          <w:lang w:val="en-US" w:eastAsia="zh-CN"/>
        </w:rPr>
        <w:t>开展的检测项目，</w:t>
      </w:r>
      <w:r>
        <w:rPr>
          <w:color w:val="auto"/>
          <w:sz w:val="21"/>
          <w:highlight w:val="none"/>
        </w:rPr>
        <w:t>每人次整体成本</w:t>
      </w:r>
      <w:r>
        <w:rPr>
          <w:rFonts w:hint="eastAsia"/>
          <w:color w:val="auto"/>
          <w:sz w:val="21"/>
          <w:highlight w:val="none"/>
          <w:lang w:eastAsia="zh-CN"/>
        </w:rPr>
        <w:t>（</w:t>
      </w:r>
      <w:r>
        <w:rPr>
          <w:color w:val="auto"/>
          <w:sz w:val="21"/>
          <w:highlight w:val="none"/>
        </w:rPr>
        <w:t>含</w:t>
      </w:r>
      <w:r>
        <w:rPr>
          <w:rFonts w:hint="eastAsia"/>
          <w:color w:val="auto"/>
          <w:sz w:val="21"/>
          <w:highlight w:val="none"/>
          <w:lang w:val="en-US" w:eastAsia="zh-CN"/>
        </w:rPr>
        <w:t>试剂和</w:t>
      </w:r>
      <w:r>
        <w:rPr>
          <w:color w:val="auto"/>
          <w:sz w:val="21"/>
          <w:highlight w:val="none"/>
        </w:rPr>
        <w:t>消耗性耗材</w:t>
      </w:r>
      <w:r>
        <w:rPr>
          <w:rFonts w:hint="eastAsia"/>
          <w:color w:val="auto"/>
          <w:sz w:val="21"/>
          <w:highlight w:val="none"/>
          <w:lang w:eastAsia="zh-CN"/>
        </w:rPr>
        <w:t>）</w:t>
      </w:r>
      <w:r>
        <w:rPr>
          <w:color w:val="auto"/>
          <w:sz w:val="21"/>
          <w:highlight w:val="none"/>
        </w:rPr>
        <w:t>不得</w:t>
      </w:r>
      <w:r>
        <w:rPr>
          <w:rFonts w:hint="eastAsia"/>
          <w:color w:val="auto"/>
          <w:highlight w:val="none"/>
          <w:lang w:val="en-US" w:eastAsia="zh-CN"/>
        </w:rPr>
        <w:t>高于</w:t>
      </w:r>
      <w:r>
        <w:rPr>
          <w:rFonts w:hint="eastAsia" w:ascii="宋体" w:hAnsi="宋体" w:eastAsia="宋体" w:cs="宋体"/>
          <w:bCs w:val="0"/>
          <w:color w:val="auto"/>
          <w:spacing w:val="0"/>
          <w:kern w:val="2"/>
          <w:sz w:val="21"/>
          <w:szCs w:val="21"/>
          <w:highlight w:val="none"/>
          <w:lang w:val="en-US" w:eastAsia="zh-CN" w:bidi="ar-SA"/>
        </w:rPr>
        <w:t>《中山市非营利性医疗机构医疗服务价格》（物价编码：</w:t>
      </w:r>
      <w:r>
        <w:rPr>
          <w:rFonts w:hint="eastAsia" w:ascii="宋体" w:hAnsi="宋体" w:cs="宋体"/>
          <w:bCs w:val="0"/>
          <w:color w:val="auto"/>
          <w:spacing w:val="0"/>
          <w:kern w:val="2"/>
          <w:sz w:val="21"/>
          <w:szCs w:val="21"/>
          <w:highlight w:val="none"/>
          <w:lang w:val="en-US" w:eastAsia="zh-CN" w:bidi="ar-SA"/>
        </w:rPr>
        <w:t>人乳头瘤病毒(HPV)核酸分型检测-杂交捕获法，250403066-2/1，301元</w:t>
      </w:r>
      <w:r>
        <w:rPr>
          <w:rFonts w:hint="eastAsia" w:ascii="宋体" w:hAnsi="宋体" w:eastAsia="宋体" w:cs="宋体"/>
          <w:bCs w:val="0"/>
          <w:color w:val="auto"/>
          <w:spacing w:val="0"/>
          <w:kern w:val="2"/>
          <w:sz w:val="21"/>
          <w:szCs w:val="21"/>
          <w:highlight w:val="none"/>
          <w:lang w:val="en-US" w:eastAsia="zh-CN" w:bidi="ar-SA"/>
        </w:rPr>
        <w:t>）最新版本中收费标准</w:t>
      </w:r>
      <w:r>
        <w:rPr>
          <w:rFonts w:hint="eastAsia"/>
          <w:color w:val="auto"/>
          <w:lang w:val="en-US" w:eastAsia="zh-CN"/>
        </w:rPr>
        <w:t>。</w:t>
      </w:r>
    </w:p>
    <w:sectPr>
      <w:pgSz w:w="16838" w:h="11906" w:orient="landscape"/>
      <w:pgMar w:top="1800" w:right="1440" w:bottom="1800" w:left="1440" w:header="851"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0351"/>
    </w:sdtPr>
    <w:sdtContent>
      <w:p>
        <w:pPr>
          <w:pStyle w:val="8"/>
        </w:pPr>
        <w:r>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path/>
              <v:fill on="f" focussize="0,0"/>
              <v:stroke on="f" joinstyle="miter"/>
              <v:imagedata o:title=""/>
              <o:lock v:ext="edit"/>
              <v:textbox inset="0mm,0mm,0mm,0mm" style="mso-fit-shape-to-text:t;">
                <w:txbxContent>
                  <w:p>
                    <w:pPr>
                      <w:pStyle w:val="8"/>
                      <w:jc w:val="center"/>
                    </w:pPr>
                    <w:r>
                      <w:rPr>
                        <w:lang w:val="zh-CN"/>
                      </w:rPr>
                      <w:t xml:space="preserve"> </w:t>
                    </w:r>
                  </w:p>
                </w:txbxContent>
              </v:textbox>
            </v:shape>
          </w:pict>
        </w:r>
      </w:p>
      <w:p>
        <w:pPr>
          <w:pStyle w:val="8"/>
        </w:pPr>
      </w:p>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C173F"/>
    <w:multiLevelType w:val="singleLevel"/>
    <w:tmpl w:val="809C173F"/>
    <w:lvl w:ilvl="0" w:tentative="0">
      <w:start w:val="1"/>
      <w:numFmt w:val="decimal"/>
      <w:suff w:val="nothing"/>
      <w:lvlText w:val="%1、"/>
      <w:lvlJc w:val="left"/>
    </w:lvl>
  </w:abstractNum>
  <w:abstractNum w:abstractNumId="1">
    <w:nsid w:val="CAF3BB20"/>
    <w:multiLevelType w:val="singleLevel"/>
    <w:tmpl w:val="CAF3BB2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U2Nzk3NzUwMGUwNGNhMDMwYmI3NjJjZDM0MWY5MzYifQ=="/>
  </w:docVars>
  <w:rsids>
    <w:rsidRoot w:val="027725AF"/>
    <w:rsid w:val="00000267"/>
    <w:rsid w:val="00000AF6"/>
    <w:rsid w:val="000037D6"/>
    <w:rsid w:val="00016B72"/>
    <w:rsid w:val="00036444"/>
    <w:rsid w:val="00043BEF"/>
    <w:rsid w:val="00065257"/>
    <w:rsid w:val="000C5864"/>
    <w:rsid w:val="00136269"/>
    <w:rsid w:val="00152E6E"/>
    <w:rsid w:val="001564F2"/>
    <w:rsid w:val="00164D4A"/>
    <w:rsid w:val="00194BEB"/>
    <w:rsid w:val="001D1D4A"/>
    <w:rsid w:val="001F6B01"/>
    <w:rsid w:val="00215636"/>
    <w:rsid w:val="0022457A"/>
    <w:rsid w:val="00227ED6"/>
    <w:rsid w:val="00234D13"/>
    <w:rsid w:val="002616DE"/>
    <w:rsid w:val="00283D40"/>
    <w:rsid w:val="00293A7C"/>
    <w:rsid w:val="002B5F04"/>
    <w:rsid w:val="002E2203"/>
    <w:rsid w:val="002F4E01"/>
    <w:rsid w:val="00341440"/>
    <w:rsid w:val="00342D38"/>
    <w:rsid w:val="00345474"/>
    <w:rsid w:val="003662C2"/>
    <w:rsid w:val="0037094F"/>
    <w:rsid w:val="003A7C0C"/>
    <w:rsid w:val="003F6DDB"/>
    <w:rsid w:val="00411292"/>
    <w:rsid w:val="004312C9"/>
    <w:rsid w:val="00440D87"/>
    <w:rsid w:val="00464791"/>
    <w:rsid w:val="00467A71"/>
    <w:rsid w:val="004A1404"/>
    <w:rsid w:val="004C251B"/>
    <w:rsid w:val="005002B7"/>
    <w:rsid w:val="00507EB2"/>
    <w:rsid w:val="0052211A"/>
    <w:rsid w:val="00524703"/>
    <w:rsid w:val="0053033B"/>
    <w:rsid w:val="00535647"/>
    <w:rsid w:val="005472B7"/>
    <w:rsid w:val="00553084"/>
    <w:rsid w:val="0055425D"/>
    <w:rsid w:val="00587AFC"/>
    <w:rsid w:val="005A38AB"/>
    <w:rsid w:val="005C193F"/>
    <w:rsid w:val="005D041B"/>
    <w:rsid w:val="005D4C82"/>
    <w:rsid w:val="00607917"/>
    <w:rsid w:val="00643222"/>
    <w:rsid w:val="00646CFF"/>
    <w:rsid w:val="006933D1"/>
    <w:rsid w:val="00695736"/>
    <w:rsid w:val="006A0103"/>
    <w:rsid w:val="00702D3D"/>
    <w:rsid w:val="00762772"/>
    <w:rsid w:val="0077615F"/>
    <w:rsid w:val="007943B1"/>
    <w:rsid w:val="007A320E"/>
    <w:rsid w:val="007A3E4E"/>
    <w:rsid w:val="007B6779"/>
    <w:rsid w:val="007D756B"/>
    <w:rsid w:val="007E3690"/>
    <w:rsid w:val="007E613A"/>
    <w:rsid w:val="007F2B11"/>
    <w:rsid w:val="007F33E6"/>
    <w:rsid w:val="007F772E"/>
    <w:rsid w:val="008639CD"/>
    <w:rsid w:val="00876B88"/>
    <w:rsid w:val="008A5819"/>
    <w:rsid w:val="008A6F6D"/>
    <w:rsid w:val="008F4E7C"/>
    <w:rsid w:val="008F6ACD"/>
    <w:rsid w:val="0092262F"/>
    <w:rsid w:val="00950093"/>
    <w:rsid w:val="009852DA"/>
    <w:rsid w:val="009B3DE4"/>
    <w:rsid w:val="009B5110"/>
    <w:rsid w:val="009C06B8"/>
    <w:rsid w:val="009C60B9"/>
    <w:rsid w:val="009F5D10"/>
    <w:rsid w:val="00AB5743"/>
    <w:rsid w:val="00AC3F2C"/>
    <w:rsid w:val="00B10D67"/>
    <w:rsid w:val="00B22E91"/>
    <w:rsid w:val="00B72C76"/>
    <w:rsid w:val="00B77F33"/>
    <w:rsid w:val="00BA0DB4"/>
    <w:rsid w:val="00BC3D3B"/>
    <w:rsid w:val="00BC522A"/>
    <w:rsid w:val="00BE1E32"/>
    <w:rsid w:val="00C23FE8"/>
    <w:rsid w:val="00C5781C"/>
    <w:rsid w:val="00C61C7C"/>
    <w:rsid w:val="00C97C1D"/>
    <w:rsid w:val="00CD392D"/>
    <w:rsid w:val="00CF6139"/>
    <w:rsid w:val="00D00163"/>
    <w:rsid w:val="00D076B0"/>
    <w:rsid w:val="00D46D87"/>
    <w:rsid w:val="00D47646"/>
    <w:rsid w:val="00D92351"/>
    <w:rsid w:val="00D932D0"/>
    <w:rsid w:val="00DC1A43"/>
    <w:rsid w:val="00E21F2C"/>
    <w:rsid w:val="00E35651"/>
    <w:rsid w:val="00E60436"/>
    <w:rsid w:val="00E71C5B"/>
    <w:rsid w:val="00EA68FA"/>
    <w:rsid w:val="00EC3435"/>
    <w:rsid w:val="00F066CA"/>
    <w:rsid w:val="00F42A70"/>
    <w:rsid w:val="00F75603"/>
    <w:rsid w:val="00F801B8"/>
    <w:rsid w:val="00F82B4B"/>
    <w:rsid w:val="00FA3C7F"/>
    <w:rsid w:val="00FE1DDB"/>
    <w:rsid w:val="00FF4826"/>
    <w:rsid w:val="027725AF"/>
    <w:rsid w:val="02BB05E3"/>
    <w:rsid w:val="034C2489"/>
    <w:rsid w:val="04574294"/>
    <w:rsid w:val="046572CE"/>
    <w:rsid w:val="0E0C08F5"/>
    <w:rsid w:val="110D6847"/>
    <w:rsid w:val="126775F5"/>
    <w:rsid w:val="140524A5"/>
    <w:rsid w:val="17A84A31"/>
    <w:rsid w:val="184216FE"/>
    <w:rsid w:val="18AC198D"/>
    <w:rsid w:val="19015C51"/>
    <w:rsid w:val="1A362D0A"/>
    <w:rsid w:val="1A9A1AE2"/>
    <w:rsid w:val="1B7A09AE"/>
    <w:rsid w:val="1D3B4F89"/>
    <w:rsid w:val="1DB403E5"/>
    <w:rsid w:val="1F0C2891"/>
    <w:rsid w:val="1FF004A0"/>
    <w:rsid w:val="216D77C8"/>
    <w:rsid w:val="21F75571"/>
    <w:rsid w:val="26AC3567"/>
    <w:rsid w:val="27094723"/>
    <w:rsid w:val="270F59F1"/>
    <w:rsid w:val="27F37477"/>
    <w:rsid w:val="28E070A3"/>
    <w:rsid w:val="29447B44"/>
    <w:rsid w:val="29D54CD9"/>
    <w:rsid w:val="2A710EAE"/>
    <w:rsid w:val="2B9A59A4"/>
    <w:rsid w:val="2C1D6D0A"/>
    <w:rsid w:val="2D887C39"/>
    <w:rsid w:val="2D993838"/>
    <w:rsid w:val="2E110DC4"/>
    <w:rsid w:val="33126B04"/>
    <w:rsid w:val="33712CFE"/>
    <w:rsid w:val="33895773"/>
    <w:rsid w:val="39CC5697"/>
    <w:rsid w:val="3C740147"/>
    <w:rsid w:val="3C92069F"/>
    <w:rsid w:val="3E9B4363"/>
    <w:rsid w:val="3EEE625E"/>
    <w:rsid w:val="443A5766"/>
    <w:rsid w:val="44746547"/>
    <w:rsid w:val="47D506ED"/>
    <w:rsid w:val="4B892499"/>
    <w:rsid w:val="4B8B77AE"/>
    <w:rsid w:val="4BF76F64"/>
    <w:rsid w:val="4EBD0A92"/>
    <w:rsid w:val="4FA1686D"/>
    <w:rsid w:val="579F1125"/>
    <w:rsid w:val="58FB7C62"/>
    <w:rsid w:val="5A3921D0"/>
    <w:rsid w:val="5DC71851"/>
    <w:rsid w:val="654B715B"/>
    <w:rsid w:val="656A70AF"/>
    <w:rsid w:val="66AA15BF"/>
    <w:rsid w:val="684045C5"/>
    <w:rsid w:val="69340CF8"/>
    <w:rsid w:val="6C171CF3"/>
    <w:rsid w:val="6D2B5A35"/>
    <w:rsid w:val="6DDF526D"/>
    <w:rsid w:val="744B3E55"/>
    <w:rsid w:val="74D672EF"/>
    <w:rsid w:val="7BDA70B6"/>
    <w:rsid w:val="7C115C9E"/>
    <w:rsid w:val="7E2C2E60"/>
    <w:rsid w:val="7EA2205F"/>
    <w:rsid w:val="7FCF2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rFonts w:ascii="宋体"/>
    </w:rPr>
  </w:style>
  <w:style w:type="paragraph" w:styleId="3">
    <w:name w:val="annotation text"/>
    <w:basedOn w:val="1"/>
    <w:link w:val="17"/>
    <w:qFormat/>
    <w:uiPriority w:val="0"/>
    <w:pPr>
      <w:widowControl/>
      <w:jc w:val="left"/>
    </w:pPr>
    <w:rPr>
      <w:kern w:val="0"/>
      <w:szCs w:val="20"/>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Plain Text"/>
    <w:basedOn w:val="1"/>
    <w:qFormat/>
    <w:uiPriority w:val="0"/>
    <w:rPr>
      <w:rFonts w:ascii="宋体" w:hAnsi="Courier New" w:cs="Courier New"/>
      <w:szCs w:val="21"/>
    </w:rPr>
  </w:style>
  <w:style w:type="paragraph" w:styleId="7">
    <w:name w:val="Balloon Text"/>
    <w:basedOn w:val="1"/>
    <w:link w:val="19"/>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3"/>
    <w:next w:val="3"/>
    <w:link w:val="18"/>
    <w:qFormat/>
    <w:uiPriority w:val="0"/>
    <w:pPr>
      <w:widowControl w:val="0"/>
    </w:pPr>
    <w:rPr>
      <w:b/>
      <w:bCs/>
      <w:kern w:val="2"/>
      <w:szCs w:val="24"/>
    </w:rPr>
  </w:style>
  <w:style w:type="paragraph" w:styleId="11">
    <w:name w:val="Body Text First Indent"/>
    <w:basedOn w:val="1"/>
    <w:next w:val="1"/>
    <w:qFormat/>
    <w:uiPriority w:val="0"/>
    <w:pPr>
      <w:spacing w:after="0" w:line="360" w:lineRule="auto"/>
      <w:ind w:firstLine="425"/>
    </w:pPr>
    <w:rPr>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qFormat/>
    <w:uiPriority w:val="0"/>
    <w:rPr>
      <w:sz w:val="21"/>
      <w:szCs w:val="21"/>
    </w:rPr>
  </w:style>
  <w:style w:type="paragraph" w:styleId="16">
    <w:name w:val="List Paragraph"/>
    <w:basedOn w:val="1"/>
    <w:unhideWhenUsed/>
    <w:qFormat/>
    <w:uiPriority w:val="99"/>
    <w:pPr>
      <w:ind w:firstLine="420" w:firstLineChars="200"/>
    </w:pPr>
  </w:style>
  <w:style w:type="character" w:customStyle="1" w:styleId="17">
    <w:name w:val="批注文字 Char"/>
    <w:basedOn w:val="14"/>
    <w:link w:val="3"/>
    <w:qFormat/>
    <w:uiPriority w:val="0"/>
    <w:rPr>
      <w:rFonts w:asciiTheme="minorHAnsi" w:hAnsiTheme="minorHAnsi" w:eastAsiaTheme="minorEastAsia" w:cstheme="minorBidi"/>
      <w:sz w:val="21"/>
    </w:rPr>
  </w:style>
  <w:style w:type="character" w:customStyle="1" w:styleId="18">
    <w:name w:val="批注主题 Char"/>
    <w:basedOn w:val="17"/>
    <w:link w:val="10"/>
    <w:qFormat/>
    <w:uiPriority w:val="0"/>
  </w:style>
  <w:style w:type="character" w:customStyle="1" w:styleId="19">
    <w:name w:val="批注框文本 Char"/>
    <w:basedOn w:val="14"/>
    <w:link w:val="7"/>
    <w:qFormat/>
    <w:uiPriority w:val="0"/>
    <w:rPr>
      <w:rFonts w:asciiTheme="minorHAnsi" w:hAnsiTheme="minorHAnsi" w:eastAsiaTheme="minorEastAsia" w:cstheme="minorBidi"/>
      <w:kern w:val="2"/>
      <w:sz w:val="18"/>
      <w:szCs w:val="18"/>
    </w:rPr>
  </w:style>
  <w:style w:type="paragraph" w:customStyle="1" w:styleId="20">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1">
    <w:name w:val="页脚 Char"/>
    <w:basedOn w:val="14"/>
    <w:link w:val="8"/>
    <w:qFormat/>
    <w:uiPriority w:val="99"/>
    <w:rPr>
      <w:rFonts w:asciiTheme="minorHAnsi" w:hAnsiTheme="minorHAnsi" w:eastAsiaTheme="minorEastAsia" w:cstheme="minorBidi"/>
      <w:kern w:val="2"/>
      <w:sz w:val="18"/>
      <w:szCs w:val="24"/>
    </w:rPr>
  </w:style>
  <w:style w:type="character" w:customStyle="1" w:styleId="22">
    <w:name w:val="fontstyle01"/>
    <w:basedOn w:val="14"/>
    <w:qFormat/>
    <w:uiPriority w:val="0"/>
    <w:rPr>
      <w:rFonts w:ascii="宋体" w:hAnsi="宋体" w:eastAsia="宋体" w:cs="宋体"/>
      <w:color w:val="000000"/>
      <w:sz w:val="18"/>
      <w:szCs w:val="18"/>
    </w:rPr>
  </w:style>
  <w:style w:type="paragraph" w:customStyle="1" w:styleId="23">
    <w:name w:val="表格文字"/>
    <w:basedOn w:val="1"/>
    <w:qFormat/>
    <w:uiPriority w:val="0"/>
    <w:pPr>
      <w:spacing w:before="25" w:after="25"/>
      <w:jc w:val="left"/>
    </w:pPr>
    <w:rPr>
      <w:bCs/>
      <w:spacing w:val="10"/>
      <w:kern w:val="0"/>
      <w:sz w:val="24"/>
      <w:szCs w:val="20"/>
    </w:rPr>
  </w:style>
  <w:style w:type="paragraph" w:customStyle="1" w:styleId="24">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5B98B8-8C96-45E0-AB1C-C2358129D99C}">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9</Pages>
  <Words>3472</Words>
  <Characters>3785</Characters>
  <Lines>23</Lines>
  <Paragraphs>6</Paragraphs>
  <TotalTime>3</TotalTime>
  <ScaleCrop>false</ScaleCrop>
  <LinksUpToDate>false</LinksUpToDate>
  <CharactersWithSpaces>3804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2020-11-05T08:46:00Z</dcterms:created>
  <dc:creator>ye</dc:creator>
  <cp:lastModifiedBy>Administrator</cp:lastModifiedBy>
  <cp:lastPrinted>2021-08-11T08:36:00Z</cp:lastPrinted>
  <dcterms:modified xsi:type="dcterms:W3CDTF">2023-06-15T09:19:46Z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D174C2C98887460CB11414CA33FE832D</vt:lpwstr>
  </property>
</Properties>
</file>