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附件《IP电话用户需求书》</w:t>
      </w:r>
    </w:p>
    <w:p>
      <w:pPr>
        <w:pStyle w:val="4"/>
        <w:rPr>
          <w:rFonts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highlight w:val="none"/>
        </w:rPr>
        <w:t>用户需求书</w:t>
      </w:r>
    </w:p>
    <w:p>
      <w:pPr>
        <w:widowControl/>
        <w:spacing w:line="360" w:lineRule="auto"/>
        <w:jc w:val="left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napToGrid w:val="0"/>
        <w:spacing w:line="360" w:lineRule="auto"/>
        <w:rPr>
          <w:rFonts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一、项目概况</w:t>
      </w:r>
    </w:p>
    <w:p>
      <w:pPr>
        <w:snapToGrid w:val="0"/>
        <w:spacing w:line="360" w:lineRule="auto"/>
        <w:ind w:firstLine="420" w:firstLineChars="200"/>
        <w:jc w:val="left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项目名称：中山市小榄人民医院IP电话采购项目</w:t>
      </w:r>
    </w:p>
    <w:p>
      <w:pPr>
        <w:snapToGrid w:val="0"/>
        <w:spacing w:line="360" w:lineRule="auto"/>
        <w:ind w:firstLine="420" w:firstLineChars="200"/>
        <w:jc w:val="left"/>
        <w:rPr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用户单位：中山市小榄人民医院</w:t>
      </w:r>
    </w:p>
    <w:p>
      <w:pPr>
        <w:snapToGrid w:val="0"/>
        <w:spacing w:line="360" w:lineRule="auto"/>
        <w:rPr>
          <w:rFonts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二、项目采购清单及技术参数要求</w:t>
      </w:r>
    </w:p>
    <w:tbl>
      <w:tblPr>
        <w:tblStyle w:val="11"/>
        <w:tblW w:w="51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087"/>
        <w:gridCol w:w="2403"/>
        <w:gridCol w:w="705"/>
        <w:gridCol w:w="810"/>
        <w:gridCol w:w="141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highlight w:val="none"/>
              </w:rPr>
              <w:t>序号</w:t>
            </w:r>
          </w:p>
        </w:tc>
        <w:tc>
          <w:tcPr>
            <w:tcW w:w="108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 xml:space="preserve"> 产品名称</w:t>
            </w:r>
          </w:p>
        </w:tc>
        <w:tc>
          <w:tcPr>
            <w:tcW w:w="24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品牌</w:t>
            </w:r>
          </w:p>
        </w:tc>
        <w:tc>
          <w:tcPr>
            <w:tcW w:w="7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highlight w:val="none"/>
              </w:rPr>
              <w:t>单位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highlight w:val="none"/>
              </w:rPr>
              <w:t>数量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highlight w:val="none"/>
              </w:rPr>
              <w:t>单价最高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highlight w:val="none"/>
              </w:rPr>
              <w:t>限价（元）</w:t>
            </w:r>
          </w:p>
        </w:tc>
        <w:tc>
          <w:tcPr>
            <w:tcW w:w="15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highlight w:val="none"/>
              </w:rPr>
              <w:t>小计（</w:t>
            </w:r>
            <w:r>
              <w:rPr>
                <w:rStyle w:val="23"/>
                <w:rFonts w:hint="default"/>
                <w:color w:val="auto"/>
                <w:sz w:val="21"/>
                <w:szCs w:val="21"/>
                <w:highlight w:val="none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1</w:t>
            </w:r>
          </w:p>
        </w:tc>
        <w:tc>
          <w:tcPr>
            <w:tcW w:w="10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Style w:val="20"/>
                <w:rFonts w:hint="default"/>
                <w:b w:val="0"/>
                <w:color w:val="auto"/>
                <w:sz w:val="21"/>
                <w:szCs w:val="21"/>
                <w:highlight w:val="none"/>
              </w:rPr>
              <w:t>IP电话</w:t>
            </w:r>
          </w:p>
        </w:tc>
        <w:tc>
          <w:tcPr>
            <w:tcW w:w="24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思科（CISCO）</w:t>
            </w:r>
          </w:p>
        </w:tc>
        <w:tc>
          <w:tcPr>
            <w:tcW w:w="7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台</w:t>
            </w:r>
          </w:p>
        </w:tc>
        <w:tc>
          <w:tcPr>
            <w:tcW w:w="8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120</w:t>
            </w:r>
          </w:p>
        </w:tc>
        <w:tc>
          <w:tcPr>
            <w:tcW w:w="1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810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97200</w:t>
            </w:r>
          </w:p>
        </w:tc>
      </w:tr>
    </w:tbl>
    <w:p>
      <w:pPr>
        <w:autoSpaceDE w:val="0"/>
        <w:autoSpaceDN w:val="0"/>
        <w:spacing w:line="360" w:lineRule="auto"/>
        <w:rPr>
          <w:rFonts w:ascii="宋体" w:hAnsi="宋体"/>
          <w:b/>
          <w:color w:val="auto"/>
          <w:highlight w:val="none"/>
        </w:rPr>
      </w:pPr>
    </w:p>
    <w:tbl>
      <w:tblPr>
        <w:tblStyle w:val="11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6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highlight w:val="none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6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一、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支持思科呼叫信令协议：SCCP和SIP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二、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支持端口速率:10Mbps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6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三、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1.支持一个号码，并配有一个全双工扬声器电话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2.采用单一号码单一呼叫模式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3.功能键使得该电话更加简单易用。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4.灰色外壳，银色面板，简约大方。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5.深层睡眠模式能够显著降低能耗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6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四、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支持IEEE 802.3af PoE，电话可以通过符合IEEE 802.3af标准的POE设备进行供电，也可以DC供电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860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五、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1.背发光保持键，背发光菜单键，深层睡眠模式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2.扬声器电话，全双工扬声器电话支持灵活拨打和接听电话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3.连接耳机的RJ9接口为客户拨打和接听电话提供了更多选择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4.彩色来电提示灯，单色背光按键、单色396 x 162像素防眩显示屏支持滚动查看呼叫特性和基于文本的XML应用。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5.四个软按键和一个滚动条 呼叫选项在显示屏上动态显示，您可以使用滚动条轻松滚动查看显示的信息。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6.电话通过RJ-45端口提供了10BASE-T以太网连接。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7.音量控制开关支持轻松调节听筒、扬声器和铃声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8.两用脚架 显示屏查看方便，同时按钮和按键简单易用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9.多种铃声 电话提供了七种用户可调节的铃声。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8603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六、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功能要求：该IP电话支持接入内网思科电话系统，并通过现有的思科电话管理系统CUCM程序进行管理，能快速进行拨号，呼叫，沟通，提高协作效率。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3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七、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配置要求：屏幕显示、呼叫等待、呼叫转移、前转、一键拨号，舒适按键，保真音质，简约商务风格。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3" w:type="dxa"/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八、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兼容现有的思科CUCM系统和配置，带软件入网许可(LICENSE)</w:t>
            </w:r>
          </w:p>
        </w:tc>
      </w:tr>
    </w:tbl>
    <w:p>
      <w:pPr>
        <w:autoSpaceDE w:val="0"/>
        <w:autoSpaceDN w:val="0"/>
        <w:spacing w:line="360" w:lineRule="auto"/>
        <w:rPr>
          <w:rFonts w:ascii="宋体" w:hAnsi="宋体"/>
          <w:b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说明：</w:t>
      </w:r>
    </w:p>
    <w:p>
      <w:pPr>
        <w:numPr>
          <w:ilvl w:val="0"/>
          <w:numId w:val="1"/>
        </w:numPr>
        <w:spacing w:line="360" w:lineRule="auto"/>
        <w:ind w:left="420" w:hanging="420" w:hangingChars="200"/>
        <w:jc w:val="left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★ 供应商对以上采购清单的货物报价，报价不得高于本项目采购预算价。</w:t>
      </w:r>
    </w:p>
    <w:p>
      <w:pPr>
        <w:numPr>
          <w:ilvl w:val="0"/>
          <w:numId w:val="1"/>
        </w:numPr>
        <w:spacing w:line="360" w:lineRule="auto"/>
        <w:ind w:left="420" w:hanging="420" w:hangingChars="200"/>
        <w:jc w:val="left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报价含送货、安装等及相关人工费、运输费、税费。</w:t>
      </w:r>
    </w:p>
    <w:p>
      <w:pPr>
        <w:snapToGrid w:val="0"/>
        <w:spacing w:line="360" w:lineRule="auto"/>
        <w:rPr>
          <w:rFonts w:ascii="宋体" w:hAnsi="宋体"/>
          <w:b/>
          <w:bCs/>
          <w:color w:val="auto"/>
          <w:highlight w:val="none"/>
        </w:rPr>
      </w:pPr>
    </w:p>
    <w:p>
      <w:pPr>
        <w:snapToGrid w:val="0"/>
        <w:spacing w:line="360" w:lineRule="auto"/>
        <w:rPr>
          <w:rFonts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三、投标报价要求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20" w:hanging="420" w:hangingChars="200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投标报价为到采购人的交货价。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20" w:hanging="420" w:hangingChars="200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投标报价为含税价。</w:t>
      </w:r>
    </w:p>
    <w:p>
      <w:pPr>
        <w:numPr>
          <w:ilvl w:val="0"/>
          <w:numId w:val="2"/>
        </w:numPr>
        <w:snapToGrid w:val="0"/>
        <w:spacing w:line="360" w:lineRule="auto"/>
        <w:ind w:left="420" w:hanging="420" w:hangingChars="200"/>
        <w:rPr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供应商须对本项目全部内容进行</w:t>
      </w:r>
      <w:r>
        <w:rPr>
          <w:rFonts w:hint="eastAsia" w:ascii="宋体" w:hAnsi="宋体"/>
          <w:bCs/>
          <w:color w:val="auto"/>
          <w:highlight w:val="none"/>
        </w:rPr>
        <w:t>整体</w:t>
      </w:r>
      <w:r>
        <w:rPr>
          <w:rFonts w:hint="eastAsia" w:ascii="宋体" w:hAnsi="宋体"/>
          <w:bCs/>
          <w:color w:val="auto"/>
          <w:highlight w:val="none"/>
        </w:rPr>
        <w:t>报价，任何只对其中一部分内容进行投标的都将视为无效</w:t>
      </w:r>
      <w:r>
        <w:rPr>
          <w:rFonts w:hint="eastAsia" w:ascii="宋体" w:hAnsi="宋体"/>
          <w:bCs/>
          <w:color w:val="auto"/>
          <w:highlight w:val="none"/>
        </w:rPr>
        <w:t>报价</w:t>
      </w:r>
      <w:r>
        <w:rPr>
          <w:rFonts w:hint="eastAsia" w:ascii="宋体" w:hAnsi="宋体"/>
          <w:bCs/>
          <w:color w:val="auto"/>
          <w:highlight w:val="none"/>
        </w:rPr>
        <w:t>。</w:t>
      </w:r>
    </w:p>
    <w:p>
      <w:pPr>
        <w:tabs>
          <w:tab w:val="left" w:pos="0"/>
        </w:tabs>
        <w:snapToGrid w:val="0"/>
        <w:spacing w:line="360" w:lineRule="auto"/>
        <w:ind w:left="-420" w:leftChars="-200"/>
        <w:rPr>
          <w:color w:val="auto"/>
          <w:highlight w:val="none"/>
        </w:rPr>
      </w:pPr>
      <w:r>
        <w:rPr>
          <w:color w:val="auto"/>
          <w:highlight w:val="none"/>
        </w:rPr>
        <w:t xml:space="preserve"> </w:t>
      </w:r>
    </w:p>
    <w:p>
      <w:pPr>
        <w:snapToGrid w:val="0"/>
        <w:spacing w:line="360" w:lineRule="auto"/>
        <w:rPr>
          <w:rFonts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四、包装、装卸、运输、保管及保险</w:t>
      </w:r>
    </w:p>
    <w:p>
      <w:pPr>
        <w:numPr>
          <w:ilvl w:val="0"/>
          <w:numId w:val="3"/>
        </w:numPr>
        <w:snapToGrid w:val="0"/>
        <w:spacing w:line="360" w:lineRule="auto"/>
        <w:ind w:left="420" w:hanging="420" w:hangingChars="200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 w:cs="Arial"/>
          <w:bCs/>
          <w:color w:val="auto"/>
          <w:highlight w:val="none"/>
        </w:rPr>
        <w:t>成交供应商</w:t>
      </w:r>
      <w:r>
        <w:rPr>
          <w:rFonts w:hint="eastAsia" w:ascii="宋体" w:hAnsi="宋体"/>
          <w:bCs/>
          <w:color w:val="auto"/>
          <w:highlight w:val="none"/>
        </w:rPr>
        <w:t>所供货物包装质量必须符合国家相关标准，货物的包装均应有良好的防湿、防锈、防潮、防雨、防腐的措施，货物要求有包装材料保护运至现场。凡由于包装不良造成的损失和由此产生的费用均由</w:t>
      </w:r>
      <w:r>
        <w:rPr>
          <w:rFonts w:hint="eastAsia" w:ascii="宋体" w:hAnsi="宋体" w:cs="Arial"/>
          <w:bCs/>
          <w:color w:val="auto"/>
          <w:highlight w:val="none"/>
        </w:rPr>
        <w:t>成交供应商</w:t>
      </w:r>
      <w:r>
        <w:rPr>
          <w:rFonts w:hint="eastAsia" w:ascii="宋体" w:hAnsi="宋体"/>
          <w:bCs/>
          <w:color w:val="auto"/>
          <w:highlight w:val="none"/>
        </w:rPr>
        <w:t>承担。</w:t>
      </w:r>
    </w:p>
    <w:p>
      <w:pPr>
        <w:numPr>
          <w:ilvl w:val="0"/>
          <w:numId w:val="3"/>
        </w:numPr>
        <w:snapToGrid w:val="0"/>
        <w:spacing w:line="360" w:lineRule="auto"/>
        <w:ind w:left="420" w:hanging="420" w:hangingChars="200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 w:cs="Arial"/>
          <w:bCs/>
          <w:color w:val="auto"/>
          <w:highlight w:val="none"/>
        </w:rPr>
        <w:t>成交供应商</w:t>
      </w:r>
      <w:r>
        <w:rPr>
          <w:rFonts w:hint="eastAsia" w:ascii="宋体" w:hAnsi="宋体"/>
          <w:bCs/>
          <w:color w:val="auto"/>
          <w:highlight w:val="none"/>
        </w:rPr>
        <w:t>负责根据用户指定的安装地点,将货物材料送到现场过程中的全部运输，包括装卸车、货物现场的搬运，由此产生的费用均由</w:t>
      </w:r>
      <w:r>
        <w:rPr>
          <w:rFonts w:hint="eastAsia" w:ascii="宋体" w:hAnsi="宋体" w:cs="Arial"/>
          <w:bCs/>
          <w:color w:val="auto"/>
          <w:highlight w:val="none"/>
        </w:rPr>
        <w:t>成交供应商</w:t>
      </w:r>
      <w:r>
        <w:rPr>
          <w:rFonts w:hint="eastAsia" w:ascii="宋体" w:hAnsi="宋体"/>
          <w:bCs/>
          <w:color w:val="auto"/>
          <w:highlight w:val="none"/>
        </w:rPr>
        <w:t>承担。</w:t>
      </w:r>
    </w:p>
    <w:p>
      <w:pPr>
        <w:numPr>
          <w:ilvl w:val="0"/>
          <w:numId w:val="3"/>
        </w:numPr>
        <w:snapToGrid w:val="0"/>
        <w:spacing w:line="360" w:lineRule="auto"/>
        <w:ind w:left="420" w:hanging="420" w:hangingChars="200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如货物运输过程中因事故造成货物短缺、损坏，成交供应商应及时安排换货，以保证合同货物及时交付，换货的相关费用由成交供应商承担。</w:t>
      </w:r>
    </w:p>
    <w:p>
      <w:pPr>
        <w:numPr>
          <w:ilvl w:val="0"/>
          <w:numId w:val="3"/>
        </w:numPr>
        <w:snapToGrid w:val="0"/>
        <w:spacing w:line="360" w:lineRule="auto"/>
        <w:ind w:left="420" w:hanging="420" w:hangingChars="200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货物的质量保险由成交供应商负责，成交供应商负责其派出的现场服务人员人身意外保险。</w:t>
      </w:r>
    </w:p>
    <w:p>
      <w:pPr>
        <w:numPr>
          <w:ilvl w:val="0"/>
          <w:numId w:val="3"/>
        </w:numPr>
        <w:snapToGrid w:val="0"/>
        <w:spacing w:line="360" w:lineRule="auto"/>
        <w:ind w:left="420" w:hanging="420" w:hangingChars="200"/>
        <w:rPr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成交供应商工作人员必须遵守采购人有关规章制度和管理规定，如有违反或损害采购人利益的，采购人有拒绝违规工作人员在项目现场工作的权利。</w:t>
      </w:r>
    </w:p>
    <w:p>
      <w:pPr>
        <w:pStyle w:val="5"/>
        <w:spacing w:before="0" w:after="0" w:line="360" w:lineRule="auto"/>
        <w:rPr>
          <w:rFonts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五、交货及验收</w:t>
      </w:r>
    </w:p>
    <w:p>
      <w:pPr>
        <w:numPr>
          <w:ilvl w:val="0"/>
          <w:numId w:val="4"/>
        </w:numPr>
        <w:snapToGrid w:val="0"/>
        <w:spacing w:line="360" w:lineRule="auto"/>
        <w:ind w:left="420" w:hanging="420" w:hangingChars="200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交货地点：中山市小榄人民医院</w:t>
      </w:r>
    </w:p>
    <w:p>
      <w:pPr>
        <w:numPr>
          <w:ilvl w:val="0"/>
          <w:numId w:val="4"/>
        </w:numPr>
        <w:snapToGrid w:val="0"/>
        <w:spacing w:line="360" w:lineRule="auto"/>
        <w:ind w:left="420" w:hanging="420" w:hangingChars="200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交货时间：合同签订后，在接到采购人通知之日起</w:t>
      </w:r>
      <w:r>
        <w:rPr>
          <w:rFonts w:hint="eastAsia" w:ascii="宋体" w:hAnsi="宋体"/>
          <w:bCs/>
          <w:color w:val="auto"/>
          <w:highlight w:val="none"/>
        </w:rPr>
        <w:t>10个工作日</w:t>
      </w:r>
      <w:r>
        <w:rPr>
          <w:rFonts w:hint="eastAsia" w:ascii="宋体" w:hAnsi="宋体"/>
          <w:bCs/>
          <w:color w:val="auto"/>
          <w:highlight w:val="none"/>
        </w:rPr>
        <w:t>完成设备的交付和验收。</w:t>
      </w:r>
    </w:p>
    <w:p>
      <w:pPr>
        <w:numPr>
          <w:ilvl w:val="0"/>
          <w:numId w:val="4"/>
        </w:numPr>
        <w:snapToGrid w:val="0"/>
        <w:spacing w:line="360" w:lineRule="auto"/>
        <w:ind w:left="420" w:hanging="420" w:hangingChars="200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成交供应商将货物送货至采购人指定地点后，由采购人按照采购合同、相关招投标文件要求进行核对，根据国家相关法律法规，对货物的规格参数和质量标准进行检查验收。</w:t>
      </w:r>
    </w:p>
    <w:p>
      <w:pPr>
        <w:numPr>
          <w:ilvl w:val="0"/>
          <w:numId w:val="4"/>
        </w:numPr>
        <w:snapToGrid w:val="0"/>
        <w:spacing w:line="360" w:lineRule="auto"/>
        <w:ind w:left="420" w:hanging="420" w:hangingChars="200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货物在验收过程中发现所交付的货物有短缺、次品、损坏或其他不符合招标文件、合同规定之情形者，采购人有权拒付该批物品的费用。</w:t>
      </w:r>
    </w:p>
    <w:p>
      <w:pPr>
        <w:numPr>
          <w:ilvl w:val="0"/>
          <w:numId w:val="4"/>
        </w:numPr>
        <w:snapToGrid w:val="0"/>
        <w:spacing w:line="360" w:lineRule="auto"/>
        <w:ind w:left="420" w:hanging="420" w:hangingChars="200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若成交供应商提供的产品发生知识产权纠纷的，由成交供应商执行处置与原知识产权所有者协商解决，采购人不承担与之相关的任何经济和法律责任。</w:t>
      </w:r>
    </w:p>
    <w:p>
      <w:pPr>
        <w:numPr>
          <w:ilvl w:val="0"/>
          <w:numId w:val="4"/>
        </w:numPr>
        <w:snapToGrid w:val="0"/>
        <w:spacing w:line="360" w:lineRule="auto"/>
        <w:ind w:left="420" w:hanging="420" w:hangingChars="200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所有货物在使用过程中发现以次充好或使用假冒伪劣产品的，成交供应商应无条件更换货物。</w:t>
      </w:r>
    </w:p>
    <w:p>
      <w:pPr>
        <w:numPr>
          <w:ilvl w:val="0"/>
          <w:numId w:val="4"/>
        </w:numPr>
        <w:snapToGrid w:val="0"/>
        <w:spacing w:line="360" w:lineRule="auto"/>
        <w:ind w:left="420" w:hanging="420" w:hangingChars="200"/>
        <w:rPr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因质量问题发生争议时，由地级市或以上的质检部门进行相关鉴定，鉴定费用由成交供应商先行垫付，鉴定结果符合质量技术要求，发生的所有鉴定费由采购人承担；鉴定结果不符合质量技术要求，发生的所有鉴定费由成交供应商承担。</w:t>
      </w:r>
    </w:p>
    <w:p>
      <w:pPr>
        <w:pStyle w:val="5"/>
        <w:spacing w:before="0" w:after="0" w:line="360" w:lineRule="auto"/>
        <w:rPr>
          <w:rFonts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六、质保期及售后服务要求</w:t>
      </w:r>
    </w:p>
    <w:p>
      <w:pPr>
        <w:numPr>
          <w:ilvl w:val="0"/>
          <w:numId w:val="5"/>
        </w:numPr>
        <w:snapToGrid w:val="0"/>
        <w:spacing w:line="360" w:lineRule="auto"/>
        <w:ind w:left="420" w:hanging="420" w:hangingChars="200"/>
        <w:rPr>
          <w:rFonts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在供货期内, 成交供应商在接到用户的需求通知, 响应时间为半小时，到达现场时间为4小时。</w:t>
      </w:r>
    </w:p>
    <w:p>
      <w:pPr>
        <w:numPr>
          <w:ilvl w:val="0"/>
          <w:numId w:val="5"/>
        </w:numPr>
        <w:snapToGrid w:val="0"/>
        <w:spacing w:line="360" w:lineRule="auto"/>
        <w:ind w:left="420" w:hanging="420" w:hangingChars="200"/>
        <w:rPr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要求质保期1年，质保期从验收合格签字之日算。如质保期内出现任何问题（不可抗力因素除外），成交供应商必须无条件接受。</w:t>
      </w:r>
    </w:p>
    <w:p>
      <w:pPr>
        <w:pStyle w:val="5"/>
        <w:spacing w:before="0" w:after="0" w:line="360" w:lineRule="auto"/>
        <w:rPr>
          <w:rFonts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七、付款方式</w:t>
      </w:r>
    </w:p>
    <w:p>
      <w:pPr>
        <w:spacing w:line="440" w:lineRule="exac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1、本合同的每笔款项以人民币转账方式支付，合同设备到采购人指定地点交付并完成安装，验收合格后，中标单位凭：</w:t>
      </w:r>
    </w:p>
    <w:p>
      <w:pPr>
        <w:spacing w:line="440" w:lineRule="exact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（1）合同；</w:t>
      </w:r>
    </w:p>
    <w:p>
      <w:pPr>
        <w:spacing w:line="440" w:lineRule="exact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（2）验收调试合格报告（加盖采购人公章）；</w:t>
      </w:r>
    </w:p>
    <w:p>
      <w:pPr>
        <w:spacing w:line="440" w:lineRule="exact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（3）中标单位开具的正式发票，加盖发票专用章。</w:t>
      </w:r>
    </w:p>
    <w:p>
      <w:pPr>
        <w:pStyle w:val="8"/>
        <w:spacing w:line="360" w:lineRule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2、具体付款方式：合同签订后，中标供应商提供合同总金额20%的发票，采购人预付合同总金额20%的款项，中标供应商按合同协议时间提供设备，采购人收到设备并经协议规定的验收部门验收合格后，中标供应商提供合同总金额80%的发票，采购方支付合同总金额的75%款项，合同总金额的5%作为售后服务保证金，在质保期满后一次性无息退还。</w:t>
      </w:r>
    </w:p>
    <w:p>
      <w:pPr>
        <w:pStyle w:val="8"/>
        <w:spacing w:line="360" w:lineRule="auto"/>
        <w:rPr>
          <w:rFonts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八、违约责任</w:t>
      </w:r>
    </w:p>
    <w:p>
      <w:pPr>
        <w:pStyle w:val="7"/>
        <w:numPr>
          <w:ilvl w:val="0"/>
          <w:numId w:val="6"/>
        </w:numPr>
        <w:spacing w:line="360" w:lineRule="auto"/>
        <w:rPr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</w:rPr>
        <w:t>采购人应在合同规定时间内，按合同执行进度向成交供应商支付货款，每拖延一天成交供应商可向采购人加收合同总金额的5‰的违约金。</w:t>
      </w:r>
    </w:p>
    <w:p>
      <w:pPr>
        <w:pStyle w:val="7"/>
        <w:numPr>
          <w:ilvl w:val="0"/>
          <w:numId w:val="6"/>
        </w:numPr>
        <w:spacing w:line="360" w:lineRule="auto"/>
        <w:rPr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</w:rPr>
        <w:t>成交供应商未能按时交货，或未能在交货之日起30天内提供该项目验收相关所必须的合法有效的文件，每拖延一天，须向采购人支付合同总金额的5‰的违约金。此种情况超过3次的，采购人有权单方中止合同。</w:t>
      </w:r>
    </w:p>
    <w:p>
      <w:pPr>
        <w:pStyle w:val="7"/>
        <w:numPr>
          <w:ilvl w:val="0"/>
          <w:numId w:val="6"/>
        </w:numPr>
        <w:spacing w:line="360" w:lineRule="auto"/>
        <w:rPr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</w:rPr>
        <w:t>成交供应商交付的货物不符合合同规定的，采购人有权拒收，成交供应商向采购人支付合同总金额的5％的违约金。此种情况超过3次的，采购人有权单方中止合同。</w:t>
      </w:r>
    </w:p>
    <w:p>
      <w:pPr>
        <w:numPr>
          <w:ilvl w:val="0"/>
          <w:numId w:val="6"/>
        </w:numPr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采购人无正当理由拒收货物的，采购人向成交供应商支付合同总金额的5％的违约金。</w:t>
      </w:r>
    </w:p>
    <w:p>
      <w:pPr>
        <w:spacing w:after="62" w:afterLines="20" w:line="440" w:lineRule="exact"/>
        <w:jc w:val="center"/>
        <w:rPr>
          <w:rFonts w:ascii="宋体" w:hAnsi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b/>
          <w:color w:val="auto"/>
          <w:sz w:val="22"/>
          <w:szCs w:val="22"/>
          <w:highlight w:val="none"/>
        </w:rPr>
        <w:t xml:space="preserve"> </w:t>
      </w:r>
      <w:bookmarkStart w:id="0" w:name="_GoBack"/>
      <w:bookmarkEnd w:id="0"/>
    </w:p>
    <w:p>
      <w:pPr>
        <w:spacing w:line="360" w:lineRule="auto"/>
        <w:rPr>
          <w:b/>
          <w:bCs/>
          <w:color w:val="auto"/>
          <w:highlight w:val="none"/>
        </w:rPr>
      </w:pPr>
      <w:r>
        <w:rPr>
          <w:b/>
          <w:bCs/>
          <w:color w:val="auto"/>
          <w:highlight w:val="none"/>
        </w:rPr>
        <w:t xml:space="preserve"> </w:t>
      </w:r>
    </w:p>
    <w:p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737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rFonts w:hint="eastAsia" w:ascii="宋体" w:hAnsi="宋体"/>
        <w:sz w:val="24"/>
        <w:szCs w:val="24"/>
      </w:rPr>
      <w:t>参数制定人：</w:t>
    </w:r>
    <w:r>
      <w:rPr>
        <w:rFonts w:hint="eastAsia"/>
        <w:sz w:val="24"/>
        <w:szCs w:val="24"/>
        <w:u w:val="single"/>
      </w:rPr>
      <w:tab/>
    </w:r>
    <w:r>
      <w:rPr>
        <w:rFonts w:hint="eastAsia"/>
        <w:sz w:val="24"/>
        <w:szCs w:val="24"/>
        <w:u w:val="single"/>
      </w:rPr>
      <w:t xml:space="preserve">                   </w:t>
    </w:r>
    <w:r>
      <w:rPr>
        <w:rFonts w:hint="eastAsia" w:ascii="宋体" w:hAnsi="宋体"/>
        <w:sz w:val="24"/>
        <w:szCs w:val="24"/>
      </w:rPr>
      <w:t>审核人：</w:t>
    </w:r>
    <w:r>
      <w:rPr>
        <w:rFonts w:hint="eastAsia"/>
        <w:u w:val="single"/>
      </w:rPr>
      <w:t xml:space="preserve">                                        </w:t>
    </w:r>
  </w:p>
  <w:p>
    <w:pPr>
      <w:pStyle w:val="9"/>
    </w:pPr>
    <w:r>
      <w:rPr>
        <w:rFonts w:hint="eastAsia"/>
      </w:rPr>
      <w:t xml:space="preserve"> </w:t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90707"/>
    <w:multiLevelType w:val="multilevel"/>
    <w:tmpl w:val="0AB90707"/>
    <w:lvl w:ilvl="0" w:tentative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D996C0B"/>
    <w:multiLevelType w:val="multilevel"/>
    <w:tmpl w:val="0D996C0B"/>
    <w:lvl w:ilvl="0" w:tentative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FC949F0"/>
    <w:multiLevelType w:val="multilevel"/>
    <w:tmpl w:val="0FC949F0"/>
    <w:lvl w:ilvl="0" w:tentative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27359B6"/>
    <w:multiLevelType w:val="multilevel"/>
    <w:tmpl w:val="527359B6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A55400F"/>
    <w:multiLevelType w:val="multilevel"/>
    <w:tmpl w:val="5A55400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4875D95"/>
    <w:multiLevelType w:val="multilevel"/>
    <w:tmpl w:val="64875D95"/>
    <w:lvl w:ilvl="0" w:tentative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00960A53"/>
    <w:rsid w:val="000336E9"/>
    <w:rsid w:val="000419B5"/>
    <w:rsid w:val="00115D57"/>
    <w:rsid w:val="001D3AE8"/>
    <w:rsid w:val="00231CBF"/>
    <w:rsid w:val="0027257A"/>
    <w:rsid w:val="002A358B"/>
    <w:rsid w:val="002F46FA"/>
    <w:rsid w:val="00321E95"/>
    <w:rsid w:val="003863DF"/>
    <w:rsid w:val="003E5012"/>
    <w:rsid w:val="00416D59"/>
    <w:rsid w:val="00425C6E"/>
    <w:rsid w:val="00434694"/>
    <w:rsid w:val="004421BE"/>
    <w:rsid w:val="00464AF8"/>
    <w:rsid w:val="00477127"/>
    <w:rsid w:val="00514E4A"/>
    <w:rsid w:val="005204A6"/>
    <w:rsid w:val="00550AB2"/>
    <w:rsid w:val="00560455"/>
    <w:rsid w:val="00743443"/>
    <w:rsid w:val="00810D7D"/>
    <w:rsid w:val="00811231"/>
    <w:rsid w:val="008A788C"/>
    <w:rsid w:val="008C7E3F"/>
    <w:rsid w:val="00960A53"/>
    <w:rsid w:val="00965C6B"/>
    <w:rsid w:val="00A24247"/>
    <w:rsid w:val="00A740F6"/>
    <w:rsid w:val="00AA297E"/>
    <w:rsid w:val="00AF6AEC"/>
    <w:rsid w:val="00C22606"/>
    <w:rsid w:val="00C31670"/>
    <w:rsid w:val="00C37D03"/>
    <w:rsid w:val="00CA59D9"/>
    <w:rsid w:val="00CC3CDA"/>
    <w:rsid w:val="00CD75AF"/>
    <w:rsid w:val="00D17E54"/>
    <w:rsid w:val="00D50B1F"/>
    <w:rsid w:val="00D5491B"/>
    <w:rsid w:val="00DE099F"/>
    <w:rsid w:val="00DF105F"/>
    <w:rsid w:val="00E06E42"/>
    <w:rsid w:val="00EA468D"/>
    <w:rsid w:val="00EC0C7A"/>
    <w:rsid w:val="00EC76A2"/>
    <w:rsid w:val="00F07608"/>
    <w:rsid w:val="00F33330"/>
    <w:rsid w:val="00F75CEE"/>
    <w:rsid w:val="00FC428A"/>
    <w:rsid w:val="00FD7614"/>
    <w:rsid w:val="08F931F6"/>
    <w:rsid w:val="0DD31EAD"/>
    <w:rsid w:val="16E40E7C"/>
    <w:rsid w:val="246E4458"/>
    <w:rsid w:val="2D6C1DFC"/>
    <w:rsid w:val="48A1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99"/>
    <w:pPr>
      <w:keepNext/>
      <w:widowControl/>
      <w:spacing w:line="360" w:lineRule="auto"/>
      <w:jc w:val="center"/>
      <w:outlineLvl w:val="0"/>
    </w:pPr>
    <w:rPr>
      <w:b/>
      <w:bCs/>
      <w:kern w:val="0"/>
      <w:sz w:val="32"/>
      <w:szCs w:val="32"/>
    </w:rPr>
  </w:style>
  <w:style w:type="paragraph" w:styleId="5">
    <w:name w:val="heading 2"/>
    <w:basedOn w:val="1"/>
    <w:next w:val="6"/>
    <w:link w:val="15"/>
    <w:qFormat/>
    <w:uiPriority w:val="99"/>
    <w:pPr>
      <w:keepNext/>
      <w:keepLines/>
      <w:widowControl/>
      <w:spacing w:before="260" w:after="260" w:line="412" w:lineRule="auto"/>
      <w:jc w:val="left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7">
    <w:name w:val="heading 3"/>
    <w:basedOn w:val="1"/>
    <w:next w:val="1"/>
    <w:link w:val="16"/>
    <w:qFormat/>
    <w:uiPriority w:val="99"/>
    <w:pPr>
      <w:keepNext/>
      <w:spacing w:line="460" w:lineRule="exact"/>
      <w:outlineLvl w:val="2"/>
    </w:pPr>
    <w:rPr>
      <w:rFonts w:ascii="宋体" w:hAnsi="宋体"/>
      <w:b/>
      <w:bCs/>
      <w:sz w:val="30"/>
      <w:szCs w:val="3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8"/>
    <w:semiHidden/>
    <w:unhideWhenUsed/>
    <w:qFormat/>
    <w:uiPriority w:val="99"/>
    <w:pPr>
      <w:spacing w:before="100" w:beforeAutospacing="1"/>
      <w:ind w:firstLine="420" w:firstLineChars="200"/>
    </w:pPr>
    <w:rPr>
      <w:color w:val="000000"/>
    </w:rPr>
  </w:style>
  <w:style w:type="paragraph" w:styleId="3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8">
    <w:name w:val="Body Text"/>
    <w:basedOn w:val="1"/>
    <w:link w:val="19"/>
    <w:unhideWhenUsed/>
    <w:qFormat/>
    <w:uiPriority w:val="99"/>
    <w:pPr>
      <w:spacing w:before="100" w:beforeAutospacing="1" w:after="120"/>
    </w:pPr>
    <w:rPr>
      <w:kern w:val="0"/>
      <w:sz w:val="24"/>
      <w:szCs w:val="24"/>
    </w:rPr>
  </w:style>
  <w:style w:type="paragraph" w:styleId="9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basedOn w:val="13"/>
    <w:link w:val="4"/>
    <w:qFormat/>
    <w:uiPriority w:val="99"/>
    <w:rPr>
      <w:rFonts w:ascii="Calibri" w:hAnsi="Calibri" w:eastAsia="宋体" w:cs="Times New Roman"/>
      <w:b/>
      <w:bCs/>
      <w:kern w:val="0"/>
      <w:sz w:val="32"/>
      <w:szCs w:val="32"/>
    </w:rPr>
  </w:style>
  <w:style w:type="character" w:customStyle="1" w:styleId="15">
    <w:name w:val="标题 2 字符"/>
    <w:basedOn w:val="13"/>
    <w:link w:val="5"/>
    <w:qFormat/>
    <w:uiPriority w:val="99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16">
    <w:name w:val="标题 3 字符"/>
    <w:basedOn w:val="13"/>
    <w:link w:val="7"/>
    <w:qFormat/>
    <w:uiPriority w:val="99"/>
    <w:rPr>
      <w:rFonts w:ascii="宋体" w:hAnsi="宋体" w:eastAsia="宋体" w:cs="Times New Roman"/>
      <w:b/>
      <w:bCs/>
      <w:sz w:val="30"/>
      <w:szCs w:val="30"/>
    </w:rPr>
  </w:style>
  <w:style w:type="character" w:customStyle="1" w:styleId="17">
    <w:name w:val="正文文本缩进 字符"/>
    <w:basedOn w:val="13"/>
    <w:link w:val="3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8">
    <w:name w:val="正文文本首行缩进 2 字符"/>
    <w:basedOn w:val="17"/>
    <w:link w:val="2"/>
    <w:semiHidden/>
    <w:qFormat/>
    <w:uiPriority w:val="99"/>
    <w:rPr>
      <w:rFonts w:ascii="Calibri" w:hAnsi="Calibri" w:eastAsia="宋体" w:cs="Times New Roman"/>
      <w:color w:val="000000"/>
      <w:szCs w:val="21"/>
    </w:rPr>
  </w:style>
  <w:style w:type="character" w:customStyle="1" w:styleId="19">
    <w:name w:val="正文文本 字符"/>
    <w:basedOn w:val="13"/>
    <w:link w:val="8"/>
    <w:qFormat/>
    <w:uiPriority w:val="99"/>
    <w:rPr>
      <w:rFonts w:ascii="Calibri" w:hAnsi="Calibri" w:eastAsia="宋体" w:cs="Times New Roman"/>
      <w:kern w:val="0"/>
      <w:sz w:val="24"/>
      <w:szCs w:val="24"/>
    </w:rPr>
  </w:style>
  <w:style w:type="character" w:customStyle="1" w:styleId="20">
    <w:name w:val="15"/>
    <w:basedOn w:val="13"/>
    <w:qFormat/>
    <w:uiPriority w:val="0"/>
    <w:rPr>
      <w:rFonts w:hint="eastAsia" w:ascii="宋体" w:hAnsi="宋体" w:eastAsia="宋体"/>
      <w:b/>
      <w:color w:val="000000"/>
      <w:sz w:val="18"/>
      <w:szCs w:val="18"/>
    </w:rPr>
  </w:style>
  <w:style w:type="character" w:customStyle="1" w:styleId="21">
    <w:name w:val="页眉 字符"/>
    <w:basedOn w:val="13"/>
    <w:link w:val="10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3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16"/>
    <w:basedOn w:val="13"/>
    <w:qFormat/>
    <w:uiPriority w:val="0"/>
    <w:rPr>
      <w:rFonts w:hint="eastAsia" w:ascii="宋体" w:hAnsi="宋体" w:eastAsia="宋体"/>
      <w:b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2182</Words>
  <Characters>2290</Characters>
  <Lines>17</Lines>
  <Paragraphs>4</Paragraphs>
  <TotalTime>28</TotalTime>
  <ScaleCrop>false</ScaleCrop>
  <LinksUpToDate>false</LinksUpToDate>
  <CharactersWithSpaces>2310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2022-03-15T07:52:00Z</dcterms:created>
  <dc:creator>Administrator</dc:creator>
  <cp:lastModifiedBy>Rebecca</cp:lastModifiedBy>
  <dcterms:modified xsi:type="dcterms:W3CDTF">2023-06-12T08:50:38Z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141B7B65D73F4E25A7DE99E801866D4E_13</vt:lpwstr>
  </property>
</Properties>
</file>