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eastAsiaTheme="minorEastAsia"/>
          <w:b/>
          <w:bCs/>
          <w:color w:val="auto"/>
          <w:sz w:val="30"/>
          <w:szCs w:val="30"/>
          <w:lang w:eastAsia="zh-CN"/>
        </w:rPr>
      </w:pPr>
      <w:r>
        <w:rPr>
          <w:rFonts w:hint="eastAsia" w:ascii="宋体" w:hAnsi="宋体" w:eastAsia="宋体" w:cs="宋体"/>
          <w:b/>
          <w:bCs/>
          <w:color w:val="auto"/>
          <w:sz w:val="30"/>
          <w:szCs w:val="30"/>
          <w:lang w:eastAsia="zh-CN"/>
        </w:rPr>
        <w:t>中山市小榄人民医院</w:t>
      </w:r>
      <w:r>
        <w:rPr>
          <w:rFonts w:hint="eastAsia" w:ascii="宋体" w:hAnsi="宋体" w:eastAsia="宋体" w:cs="宋体"/>
          <w:b/>
          <w:bCs/>
          <w:color w:val="auto"/>
          <w:sz w:val="30"/>
          <w:szCs w:val="30"/>
        </w:rPr>
        <w:t>医保管理自查自纠服务</w:t>
      </w:r>
      <w:r>
        <w:rPr>
          <w:rFonts w:hint="eastAsia" w:ascii="宋体" w:hAnsi="宋体"/>
          <w:b/>
          <w:color w:val="auto"/>
          <w:sz w:val="30"/>
          <w:szCs w:val="30"/>
        </w:rPr>
        <w:t>采购</w:t>
      </w:r>
      <w:r>
        <w:rPr>
          <w:rFonts w:hint="eastAsia" w:ascii="宋体" w:hAnsi="宋体" w:eastAsia="宋体" w:cs="宋体"/>
          <w:b/>
          <w:bCs/>
          <w:color w:val="auto"/>
          <w:sz w:val="30"/>
          <w:szCs w:val="30"/>
          <w:lang w:val="en-US" w:eastAsia="zh-CN"/>
        </w:rPr>
        <w:t>需求</w:t>
      </w:r>
    </w:p>
    <w:p>
      <w:pPr>
        <w:rPr>
          <w:rFonts w:ascii="宋体" w:hAnsi="宋体" w:eastAsia="宋体" w:cs="宋体"/>
          <w:color w:val="auto"/>
          <w:szCs w:val="21"/>
        </w:rPr>
      </w:pPr>
    </w:p>
    <w:p>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一、采购项目名称:</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lang w:eastAsia="zh-CN"/>
        </w:rPr>
        <w:t>中山市小榄人民医院</w:t>
      </w:r>
      <w:r>
        <w:rPr>
          <w:rFonts w:hint="eastAsia" w:ascii="宋体" w:hAnsi="宋体" w:eastAsia="宋体" w:cs="宋体"/>
          <w:color w:val="auto"/>
          <w:szCs w:val="21"/>
        </w:rPr>
        <w:t>医保管理自查自纠服务</w:t>
      </w:r>
    </w:p>
    <w:p>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二、采购资格要求</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须在中华人民共和国境内注册，具备有效的营业执照及法人主体；</w:t>
      </w:r>
    </w:p>
    <w:p>
      <w:pPr>
        <w:tabs>
          <w:tab w:val="left" w:pos="360"/>
          <w:tab w:val="left" w:pos="900"/>
        </w:tabs>
        <w:spacing w:line="360" w:lineRule="auto"/>
        <w:ind w:firstLine="420" w:firstLineChars="200"/>
        <w:rPr>
          <w:rFonts w:ascii="宋体" w:hAnsi="宋体" w:eastAsia="宋体"/>
          <w:color w:val="auto"/>
        </w:rPr>
      </w:pPr>
      <w:r>
        <w:rPr>
          <w:rFonts w:hint="eastAsia" w:ascii="宋体" w:hAnsi="宋体" w:eastAsia="宋体"/>
          <w:color w:val="auto"/>
        </w:rPr>
        <w:t>2、参与该项目的</w:t>
      </w:r>
      <w:r>
        <w:rPr>
          <w:rFonts w:hint="eastAsia" w:ascii="宋体" w:hAnsi="宋体" w:eastAsia="宋体" w:cs="宋体"/>
          <w:color w:val="auto"/>
          <w:szCs w:val="21"/>
          <w:lang w:val="en-US" w:eastAsia="zh-CN"/>
        </w:rPr>
        <w:t>供应商</w:t>
      </w:r>
      <w:r>
        <w:rPr>
          <w:rFonts w:hint="eastAsia" w:ascii="宋体" w:hAnsi="宋体" w:eastAsia="宋体"/>
          <w:color w:val="auto"/>
        </w:rPr>
        <w:t>近五年内无行贿犯罪记录；</w:t>
      </w:r>
    </w:p>
    <w:p>
      <w:pPr>
        <w:tabs>
          <w:tab w:val="left" w:pos="360"/>
          <w:tab w:val="left" w:pos="900"/>
        </w:tabs>
        <w:spacing w:line="360" w:lineRule="auto"/>
        <w:ind w:firstLine="420" w:firstLineChars="200"/>
        <w:rPr>
          <w:rFonts w:ascii="宋体" w:hAnsi="宋体" w:eastAsia="宋体"/>
          <w:color w:val="auto"/>
        </w:rPr>
      </w:pPr>
      <w:r>
        <w:rPr>
          <w:rFonts w:hint="eastAsia" w:ascii="宋体" w:hAnsi="宋体" w:eastAsia="宋体"/>
          <w:color w:val="auto"/>
        </w:rPr>
        <w:t>3、参与该项目的</w:t>
      </w:r>
      <w:r>
        <w:rPr>
          <w:rFonts w:hint="eastAsia" w:ascii="宋体" w:hAnsi="宋体" w:eastAsia="宋体" w:cs="宋体"/>
          <w:color w:val="auto"/>
          <w:szCs w:val="21"/>
          <w:lang w:val="en-US" w:eastAsia="zh-CN"/>
        </w:rPr>
        <w:t>供应商</w:t>
      </w:r>
      <w:r>
        <w:rPr>
          <w:rFonts w:hint="eastAsia" w:ascii="宋体" w:hAnsi="宋体" w:eastAsia="宋体"/>
          <w:color w:val="auto"/>
        </w:rPr>
        <w:t>近五年内，在经营活动中没有重大违法记录、以及不存在被有关部门禁止参与政府采购活动且在有限期内的情况；</w:t>
      </w:r>
    </w:p>
    <w:p>
      <w:pPr>
        <w:tabs>
          <w:tab w:val="left" w:pos="360"/>
          <w:tab w:val="left" w:pos="900"/>
        </w:tabs>
        <w:spacing w:line="360" w:lineRule="auto"/>
        <w:ind w:firstLine="420" w:firstLineChars="200"/>
        <w:rPr>
          <w:rFonts w:ascii="宋体" w:hAnsi="宋体" w:eastAsia="宋体"/>
          <w:color w:val="auto"/>
        </w:rPr>
      </w:pPr>
      <w:r>
        <w:rPr>
          <w:rFonts w:hint="eastAsia" w:ascii="宋体" w:hAnsi="宋体" w:eastAsia="宋体"/>
          <w:color w:val="auto"/>
        </w:rPr>
        <w:t>4、本项目不接受联合体采购，不允许转包、分包。</w:t>
      </w:r>
    </w:p>
    <w:p>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三、采购项目建设要求</w:t>
      </w:r>
    </w:p>
    <w:p>
      <w:pPr>
        <w:spacing w:line="360" w:lineRule="auto"/>
        <w:ind w:firstLine="422" w:firstLineChars="200"/>
        <w:rPr>
          <w:b/>
          <w:bCs/>
          <w:color w:val="auto"/>
        </w:rPr>
      </w:pPr>
      <w:r>
        <w:rPr>
          <w:rFonts w:hint="eastAsia"/>
          <w:b/>
          <w:bCs/>
          <w:color w:val="auto"/>
        </w:rPr>
        <w:t>（一）服务目标</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根据《医疗保障基金使用监督管理条例》和《广东省医疗保障局公安厅卫生健康委转发国家医保局公安部国家卫生健康委关于开展打击欺诈骗保专项整治行动的通知》（粤医保发〔2021〕25号）等文件要求，我院</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以下称：采购人</w:t>
      </w:r>
      <w:r>
        <w:rPr>
          <w:rFonts w:hint="eastAsia" w:ascii="宋体" w:hAnsi="宋体" w:eastAsia="宋体" w:cs="宋体"/>
          <w:color w:val="auto"/>
          <w:szCs w:val="21"/>
          <w:lang w:eastAsia="zh-CN"/>
        </w:rPr>
        <w:t>）</w:t>
      </w:r>
      <w:r>
        <w:rPr>
          <w:rFonts w:hint="eastAsia" w:ascii="宋体" w:hAnsi="宋体" w:eastAsia="宋体" w:cs="宋体"/>
          <w:color w:val="auto"/>
          <w:szCs w:val="21"/>
        </w:rPr>
        <w:t>拟委托第三方服务公司对我院</w:t>
      </w:r>
      <w:r>
        <w:rPr>
          <w:rFonts w:hint="eastAsia" w:ascii="宋体" w:hAnsi="宋体" w:eastAsia="宋体" w:cs="宋体"/>
          <w:color w:val="auto"/>
          <w:szCs w:val="21"/>
          <w:lang w:val="en-US" w:eastAsia="zh-CN"/>
        </w:rPr>
        <w:t>2021年1月1日至</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3</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5月31日</w:t>
      </w:r>
      <w:r>
        <w:rPr>
          <w:rFonts w:hint="eastAsia" w:ascii="宋体" w:hAnsi="宋体" w:eastAsia="宋体" w:cs="宋体"/>
          <w:color w:val="auto"/>
          <w:szCs w:val="21"/>
        </w:rPr>
        <w:t>的医保费用使用等情况开展第三方评估分析，形成对应的情况分析报告。</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对涉及的临床诊断、药品、医用耗材、诊疗服务项目、财务、进销存数据等进行评估分析，对</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医院存在的医保管理风险点进行评估分析并出具自查自纠服务检查结果报告，检查结果报告将包括医疗费用情况、存在问题，涉及金额、整改措施和建议等方面。</w:t>
      </w:r>
    </w:p>
    <w:p>
      <w:pPr>
        <w:pStyle w:val="11"/>
        <w:spacing w:line="360" w:lineRule="auto"/>
        <w:ind w:firstLine="0" w:firstLineChars="0"/>
        <w:rPr>
          <w:b/>
          <w:bCs/>
          <w:color w:val="auto"/>
        </w:rPr>
      </w:pPr>
      <w:r>
        <w:rPr>
          <w:rFonts w:hint="eastAsia" w:ascii="宋体" w:hAnsi="宋体" w:eastAsia="宋体" w:cs="宋体"/>
          <w:color w:val="auto"/>
        </w:rPr>
        <w:t xml:space="preserve">   </w:t>
      </w:r>
      <w:r>
        <w:rPr>
          <w:rFonts w:hint="eastAsia"/>
          <w:b/>
          <w:bCs/>
          <w:color w:val="auto"/>
        </w:rPr>
        <w:t xml:space="preserve">  （二）服务内容（包括但不限于）</w:t>
      </w:r>
    </w:p>
    <w:p>
      <w:pPr>
        <w:pStyle w:val="11"/>
        <w:spacing w:line="360" w:lineRule="auto"/>
        <w:ind w:firstLine="210"/>
        <w:rPr>
          <w:color w:val="auto"/>
        </w:rPr>
      </w:pPr>
      <w:r>
        <w:rPr>
          <w:rFonts w:hint="eastAsia"/>
          <w:color w:val="auto"/>
        </w:rPr>
        <w:t xml:space="preserve">    1、</w:t>
      </w:r>
      <w:r>
        <w:rPr>
          <w:rFonts w:hint="eastAsia" w:ascii="宋体" w:hAnsi="宋体" w:eastAsia="宋体" w:cs="宋体"/>
          <w:color w:val="auto"/>
          <w:szCs w:val="21"/>
          <w:lang w:val="en-US" w:eastAsia="zh-CN"/>
        </w:rPr>
        <w:t>采购人</w:t>
      </w:r>
      <w:r>
        <w:rPr>
          <w:rFonts w:hint="eastAsia"/>
          <w:color w:val="auto"/>
        </w:rPr>
        <w:t>医院医疗服务行为和费用情况；</w:t>
      </w:r>
    </w:p>
    <w:p>
      <w:pPr>
        <w:pStyle w:val="11"/>
        <w:spacing w:line="360" w:lineRule="auto"/>
        <w:ind w:firstLine="630" w:firstLineChars="300"/>
        <w:rPr>
          <w:color w:val="auto"/>
        </w:rPr>
      </w:pPr>
      <w:r>
        <w:rPr>
          <w:rFonts w:hint="eastAsia"/>
          <w:color w:val="auto"/>
        </w:rPr>
        <w:t>2、</w:t>
      </w:r>
      <w:r>
        <w:rPr>
          <w:rFonts w:hint="eastAsia" w:ascii="宋体" w:hAnsi="宋体" w:eastAsia="宋体" w:cs="宋体"/>
          <w:color w:val="auto"/>
          <w:szCs w:val="21"/>
          <w:lang w:val="en-US" w:eastAsia="zh-CN"/>
        </w:rPr>
        <w:t>采购人</w:t>
      </w:r>
      <w:r>
        <w:rPr>
          <w:rFonts w:hint="eastAsia"/>
          <w:color w:val="auto"/>
        </w:rPr>
        <w:t>医院药品和医用耗材进销存情况；</w:t>
      </w:r>
    </w:p>
    <w:p>
      <w:pPr>
        <w:pStyle w:val="11"/>
        <w:spacing w:line="360" w:lineRule="auto"/>
        <w:ind w:firstLine="630" w:firstLineChars="300"/>
        <w:rPr>
          <w:color w:val="auto"/>
        </w:rPr>
      </w:pPr>
      <w:r>
        <w:rPr>
          <w:rFonts w:hint="eastAsia"/>
          <w:color w:val="auto"/>
        </w:rPr>
        <w:t>3、</w:t>
      </w:r>
      <w:r>
        <w:rPr>
          <w:rFonts w:hint="eastAsia" w:ascii="宋体" w:hAnsi="宋体" w:eastAsia="宋体" w:cs="宋体"/>
          <w:color w:val="auto"/>
          <w:szCs w:val="21"/>
          <w:lang w:val="en-US" w:eastAsia="zh-CN"/>
        </w:rPr>
        <w:t>采购人</w:t>
      </w:r>
      <w:r>
        <w:rPr>
          <w:rFonts w:hint="eastAsia"/>
          <w:color w:val="auto"/>
        </w:rPr>
        <w:t>医疗收费及诊疗规范情况；</w:t>
      </w:r>
    </w:p>
    <w:p>
      <w:pPr>
        <w:pStyle w:val="11"/>
        <w:spacing w:line="360" w:lineRule="auto"/>
        <w:ind w:firstLine="630" w:firstLineChars="300"/>
        <w:rPr>
          <w:color w:val="auto"/>
        </w:rPr>
      </w:pPr>
      <w:r>
        <w:rPr>
          <w:rFonts w:hint="eastAsia"/>
          <w:color w:val="auto"/>
        </w:rPr>
        <w:t>4、</w:t>
      </w:r>
      <w:r>
        <w:rPr>
          <w:rFonts w:hint="eastAsia" w:ascii="宋体" w:hAnsi="宋体" w:eastAsia="宋体" w:cs="宋体"/>
          <w:color w:val="auto"/>
          <w:szCs w:val="21"/>
          <w:lang w:val="en-US" w:eastAsia="zh-CN"/>
        </w:rPr>
        <w:t>采购人</w:t>
      </w:r>
      <w:r>
        <w:rPr>
          <w:rFonts w:hint="eastAsia"/>
          <w:color w:val="auto"/>
        </w:rPr>
        <w:t>中医</w:t>
      </w:r>
      <w:r>
        <w:rPr>
          <w:rFonts w:hint="eastAsia"/>
          <w:color w:val="auto"/>
          <w:lang w:eastAsia="zh-CN"/>
        </w:rPr>
        <w:t>、</w:t>
      </w:r>
      <w:r>
        <w:rPr>
          <w:rFonts w:hint="eastAsia"/>
          <w:color w:val="auto"/>
          <w:lang w:val="en-US" w:eastAsia="zh-CN"/>
        </w:rPr>
        <w:t>康复</w:t>
      </w:r>
      <w:r>
        <w:rPr>
          <w:rFonts w:hint="eastAsia"/>
          <w:color w:val="auto"/>
        </w:rPr>
        <w:t>理疗项目开展情况；</w:t>
      </w:r>
    </w:p>
    <w:p>
      <w:pPr>
        <w:spacing w:line="360" w:lineRule="auto"/>
        <w:ind w:firstLine="630" w:firstLineChars="300"/>
        <w:rPr>
          <w:color w:val="auto"/>
        </w:rPr>
      </w:pPr>
      <w:r>
        <w:rPr>
          <w:rFonts w:hint="eastAsia"/>
          <w:color w:val="auto"/>
        </w:rPr>
        <w:t>其中医疗异常行为包括但不限于以下内容：</w:t>
      </w:r>
    </w:p>
    <w:p>
      <w:pPr>
        <w:spacing w:line="360" w:lineRule="auto"/>
        <w:ind w:firstLine="630" w:firstLineChars="300"/>
        <w:rPr>
          <w:color w:val="auto"/>
        </w:rPr>
      </w:pPr>
      <w:r>
        <w:rPr>
          <w:rFonts w:hint="eastAsia"/>
          <w:color w:val="auto"/>
        </w:rPr>
        <w:t>（1）是否存在无指征住院、分解住院等情况；</w:t>
      </w:r>
    </w:p>
    <w:p>
      <w:pPr>
        <w:spacing w:line="360" w:lineRule="auto"/>
        <w:ind w:firstLine="630" w:firstLineChars="300"/>
        <w:rPr>
          <w:color w:val="auto"/>
        </w:rPr>
      </w:pPr>
      <w:r>
        <w:rPr>
          <w:rFonts w:hint="eastAsia"/>
          <w:color w:val="auto"/>
        </w:rPr>
        <w:t>（2）是否存在违反诊疗规范过度诊疗、过度检查或者提供其他不必要的医药服务等情况；</w:t>
      </w:r>
    </w:p>
    <w:p>
      <w:pPr>
        <w:spacing w:line="360" w:lineRule="auto"/>
        <w:ind w:firstLine="630" w:firstLineChars="300"/>
        <w:rPr>
          <w:color w:val="auto"/>
        </w:rPr>
      </w:pPr>
      <w:r>
        <w:rPr>
          <w:rFonts w:hint="eastAsia"/>
          <w:color w:val="auto"/>
        </w:rPr>
        <w:t>（3）是否存在超标准收费、重复收费、分解项目收费的情况；</w:t>
      </w:r>
    </w:p>
    <w:p>
      <w:pPr>
        <w:spacing w:line="360" w:lineRule="auto"/>
        <w:ind w:firstLine="630" w:firstLineChars="300"/>
        <w:rPr>
          <w:color w:val="auto"/>
        </w:rPr>
      </w:pPr>
      <w:r>
        <w:rPr>
          <w:rFonts w:hint="eastAsia"/>
          <w:color w:val="auto"/>
        </w:rPr>
        <w:t>（4）是否存在虚构医药服务项目收费的情况；</w:t>
      </w:r>
    </w:p>
    <w:p>
      <w:pPr>
        <w:spacing w:line="360" w:lineRule="auto"/>
        <w:ind w:firstLine="630" w:firstLineChars="300"/>
        <w:rPr>
          <w:color w:val="auto"/>
        </w:rPr>
      </w:pPr>
      <w:r>
        <w:rPr>
          <w:rFonts w:hint="eastAsia"/>
          <w:color w:val="auto"/>
        </w:rPr>
        <w:t>（5）是否存在药品、医用耗材出入库记录与购进的数量、规格、型号不符，实际低值高套、少用多记等情况；</w:t>
      </w:r>
    </w:p>
    <w:p>
      <w:pPr>
        <w:spacing w:line="360" w:lineRule="auto"/>
        <w:ind w:firstLine="630" w:firstLineChars="300"/>
        <w:rPr>
          <w:color w:val="auto"/>
        </w:rPr>
      </w:pPr>
      <w:r>
        <w:rPr>
          <w:rFonts w:hint="eastAsia"/>
          <w:color w:val="auto"/>
        </w:rPr>
        <w:t>（6）是否存在将不属于医疗保障基金支付范围的医药项目费用纳入医疗保障基金结算等情况；</w:t>
      </w:r>
    </w:p>
    <w:p>
      <w:pPr>
        <w:spacing w:line="360" w:lineRule="auto"/>
        <w:ind w:firstLine="630" w:firstLineChars="300"/>
        <w:rPr>
          <w:color w:val="auto"/>
        </w:rPr>
      </w:pPr>
      <w:r>
        <w:rPr>
          <w:rFonts w:hint="eastAsia"/>
          <w:color w:val="auto"/>
        </w:rPr>
        <w:t>（7）是否存在中医</w:t>
      </w:r>
      <w:r>
        <w:rPr>
          <w:rFonts w:hint="eastAsia"/>
          <w:color w:val="auto"/>
          <w:lang w:eastAsia="zh-CN"/>
        </w:rPr>
        <w:t>、</w:t>
      </w:r>
      <w:r>
        <w:rPr>
          <w:rFonts w:hint="eastAsia"/>
          <w:color w:val="auto"/>
          <w:lang w:val="en-US" w:eastAsia="zh-CN"/>
        </w:rPr>
        <w:t>康复</w:t>
      </w:r>
      <w:r>
        <w:rPr>
          <w:rFonts w:hint="eastAsia"/>
          <w:color w:val="auto"/>
        </w:rPr>
        <w:t>理疗项目实际操作违反诊疗规范等情况；</w:t>
      </w:r>
    </w:p>
    <w:p>
      <w:pPr>
        <w:spacing w:line="360" w:lineRule="auto"/>
        <w:ind w:firstLine="630" w:firstLineChars="300"/>
        <w:rPr>
          <w:color w:val="auto"/>
        </w:rPr>
      </w:pPr>
      <w:r>
        <w:rPr>
          <w:rFonts w:hint="eastAsia"/>
          <w:color w:val="auto"/>
        </w:rPr>
        <w:t>（8）数据条件允许情况下，检查是否存在自费率超出控制标准及住院费用增长超过平均增长率等情况；</w:t>
      </w:r>
    </w:p>
    <w:p>
      <w:pPr>
        <w:spacing w:line="360" w:lineRule="auto"/>
        <w:ind w:firstLine="630" w:firstLineChars="300"/>
        <w:rPr>
          <w:color w:val="auto"/>
        </w:rPr>
      </w:pPr>
      <w:r>
        <w:rPr>
          <w:rFonts w:hint="eastAsia"/>
          <w:color w:val="auto"/>
        </w:rPr>
        <w:t>（9）造成医疗保障基金损失的其他违法行为。</w:t>
      </w:r>
    </w:p>
    <w:p>
      <w:pPr>
        <w:pStyle w:val="2"/>
        <w:numPr>
          <w:ilvl w:val="0"/>
          <w:numId w:val="1"/>
        </w:numPr>
        <w:rPr>
          <w:color w:val="auto"/>
        </w:rPr>
      </w:pPr>
      <w:r>
        <w:rPr>
          <w:rFonts w:hint="eastAsia"/>
          <w:color w:val="auto"/>
        </w:rPr>
        <w:t>项目要求</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组建服务检查团队，现场检查团队成员必须由具备省级或省级以上飞行检查经验的人员组成，成员人数要求5名或以上人员。</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检查团队要以医院</w:t>
      </w:r>
      <w:r>
        <w:rPr>
          <w:rFonts w:hint="eastAsia" w:ascii="宋体" w:hAnsi="宋体" w:eastAsia="宋体" w:cs="宋体"/>
          <w:color w:val="auto"/>
          <w:szCs w:val="21"/>
          <w:lang w:val="en-US" w:eastAsia="zh-CN"/>
        </w:rPr>
        <w:t>2021年1月1日至</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3</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5月31日的</w:t>
      </w:r>
      <w:r>
        <w:rPr>
          <w:rFonts w:hint="eastAsia" w:ascii="宋体" w:hAnsi="宋体" w:eastAsia="宋体" w:cs="宋体"/>
          <w:color w:val="auto"/>
          <w:szCs w:val="21"/>
        </w:rPr>
        <w:t>医疗业务大数据为抓手，结合医保规则评估分析数据，现场核查病历、费用清单等，查找违规单据、可疑单据、虚假就医、不合理诊疗等问题；到院走访病人、医护人员，找出药品等管理不规范行为；到院查对医院账目流水，进销存记录等，找出问题有针对性地对医院的医药服务行为和医药费用进行现场检查；走访中医理疗开展科室，找出违反诊疗规范的情况；在现场检查中查找造成医疗保障基金损失的其他违法行为。</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检查团队对</w:t>
      </w:r>
      <w:r>
        <w:rPr>
          <w:rFonts w:hint="eastAsia" w:ascii="宋体" w:hAnsi="宋体" w:eastAsia="宋体" w:cs="宋体"/>
          <w:color w:val="auto"/>
          <w:szCs w:val="21"/>
          <w:lang w:val="en-US" w:eastAsia="zh-CN"/>
        </w:rPr>
        <w:t>采购人2021年1月1日至</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3</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5月31日</w:t>
      </w:r>
      <w:r>
        <w:rPr>
          <w:rFonts w:hint="eastAsia" w:ascii="宋体" w:hAnsi="宋体" w:eastAsia="宋体" w:cs="宋体"/>
          <w:color w:val="auto"/>
          <w:szCs w:val="21"/>
        </w:rPr>
        <w:t>院内数据进行统计，对涉及的临床诊断、药品、医用耗材、诊疗项目、财务、进销存数据以及医院医保管理风险点等进行梳理、评估、统计、分析，并</w:t>
      </w:r>
      <w:r>
        <w:rPr>
          <w:rFonts w:hint="eastAsia" w:ascii="宋体" w:hAnsi="宋体" w:eastAsia="宋体" w:cs="宋体"/>
          <w:color w:val="auto"/>
          <w:szCs w:val="21"/>
          <w:lang w:val="en-US" w:eastAsia="zh-CN"/>
        </w:rPr>
        <w:t>于2023年6月20日前</w:t>
      </w:r>
      <w:r>
        <w:rPr>
          <w:rFonts w:hint="eastAsia" w:ascii="宋体" w:hAnsi="宋体" w:eastAsia="宋体" w:cs="宋体"/>
          <w:color w:val="auto"/>
          <w:szCs w:val="21"/>
        </w:rPr>
        <w:t>形成</w:t>
      </w:r>
      <w:r>
        <w:rPr>
          <w:rFonts w:hint="eastAsia" w:ascii="宋体" w:hAnsi="宋体" w:eastAsia="宋体" w:cs="宋体"/>
          <w:color w:val="auto"/>
          <w:szCs w:val="21"/>
          <w:lang w:val="en-US" w:eastAsia="zh-CN"/>
        </w:rPr>
        <w:t>2021年1月1日至</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3</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5月31日最终的</w:t>
      </w:r>
      <w:r>
        <w:rPr>
          <w:rFonts w:hint="eastAsia" w:ascii="宋体" w:hAnsi="宋体" w:eastAsia="宋体" w:cs="宋体"/>
          <w:color w:val="auto"/>
          <w:szCs w:val="21"/>
        </w:rPr>
        <w:t>医保管理自查自纠服务检查报告，报告中针对检查中发现的医疗费用情况、存在问题、涉及金额要出具明细报表，并提出整改措施、建议等方面的持续改进方案。</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4、检查完成</w:t>
      </w:r>
      <w:r>
        <w:rPr>
          <w:rFonts w:hint="eastAsia" w:ascii="宋体" w:hAnsi="宋体" w:eastAsia="宋体" w:cs="宋体"/>
          <w:b w:val="0"/>
          <w:bCs w:val="0"/>
          <w:color w:val="auto"/>
          <w:szCs w:val="21"/>
        </w:rPr>
        <w:t>后，由</w:t>
      </w:r>
      <w:r>
        <w:rPr>
          <w:rFonts w:hint="eastAsia" w:ascii="宋体" w:hAnsi="宋体" w:eastAsia="宋体" w:cs="宋体"/>
          <w:b w:val="0"/>
          <w:bCs w:val="0"/>
          <w:color w:val="auto"/>
          <w:szCs w:val="21"/>
          <w:lang w:val="en-US" w:eastAsia="zh-CN"/>
        </w:rPr>
        <w:t>采购人</w:t>
      </w:r>
      <w:r>
        <w:rPr>
          <w:rFonts w:hint="eastAsia" w:ascii="宋体" w:hAnsi="宋体" w:eastAsia="宋体" w:cs="宋体"/>
          <w:b w:val="0"/>
          <w:bCs w:val="0"/>
          <w:color w:val="auto"/>
          <w:szCs w:val="21"/>
        </w:rPr>
        <w:t>组织相关临床科室、三目管理科室、医保科、财务科、收费等参与的检查反馈会议，由检查团队成员详细通报检查中发现的违规问题、整改措施，并热情、耐心做好现场科室人员的答疑。</w:t>
      </w:r>
    </w:p>
    <w:p>
      <w:pPr>
        <w:tabs>
          <w:tab w:val="left" w:pos="360"/>
          <w:tab w:val="left" w:pos="900"/>
        </w:tabs>
        <w:spacing w:line="360" w:lineRule="auto"/>
        <w:ind w:firstLine="422" w:firstLineChars="200"/>
        <w:rPr>
          <w:rFonts w:ascii="宋体" w:hAnsi="宋体" w:eastAsia="宋体" w:cs="宋体"/>
          <w:b/>
          <w:bCs/>
          <w:color w:val="auto"/>
          <w:szCs w:val="21"/>
        </w:rPr>
      </w:pPr>
      <w:r>
        <w:rPr>
          <w:rFonts w:hint="eastAsia"/>
          <w:b/>
          <w:bCs/>
          <w:color w:val="auto"/>
          <w:lang w:val="en-US" w:eastAsia="zh-CN"/>
        </w:rPr>
        <w:t>四</w:t>
      </w:r>
      <w:r>
        <w:rPr>
          <w:rFonts w:hint="eastAsia"/>
          <w:b/>
          <w:bCs/>
          <w:color w:val="auto"/>
        </w:rPr>
        <w:t>、</w:t>
      </w:r>
      <w:r>
        <w:rPr>
          <w:rFonts w:hint="eastAsia" w:ascii="宋体" w:hAnsi="宋体" w:eastAsia="宋体" w:cs="宋体"/>
          <w:b/>
          <w:bCs/>
          <w:color w:val="auto"/>
          <w:szCs w:val="21"/>
        </w:rPr>
        <w:t>报价要求：</w:t>
      </w:r>
    </w:p>
    <w:p>
      <w:pPr>
        <w:tabs>
          <w:tab w:val="left" w:pos="360"/>
          <w:tab w:val="left" w:pos="900"/>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报价须是完成该项目的一切费用总和，包括但不仅限于所需设备、软件、人力资源、餐饮、培训、人力成本以及国家规定的各项税费等。 </w:t>
      </w:r>
    </w:p>
    <w:p>
      <w:pPr>
        <w:pStyle w:val="2"/>
        <w:numPr>
          <w:ilvl w:val="0"/>
          <w:numId w:val="2"/>
        </w:numPr>
        <w:rPr>
          <w:rFonts w:hint="eastAsia" w:asciiTheme="minorHAnsi" w:hAnsiTheme="minorHAnsi" w:eastAsiaTheme="minorEastAsia" w:cstheme="minorBidi"/>
          <w:b/>
          <w:bCs/>
          <w:color w:val="auto"/>
          <w:kern w:val="2"/>
          <w:sz w:val="21"/>
          <w:szCs w:val="24"/>
          <w:lang w:val="en-US" w:eastAsia="zh-CN" w:bidi="ar-SA"/>
        </w:rPr>
      </w:pPr>
      <w:r>
        <w:rPr>
          <w:rFonts w:hint="eastAsia" w:asciiTheme="minorHAnsi" w:hAnsiTheme="minorHAnsi" w:eastAsiaTheme="minorEastAsia" w:cstheme="minorBidi"/>
          <w:b/>
          <w:bCs/>
          <w:color w:val="auto"/>
          <w:kern w:val="2"/>
          <w:sz w:val="21"/>
          <w:szCs w:val="24"/>
          <w:lang w:val="en-US" w:eastAsia="zh-CN" w:bidi="ar-SA"/>
        </w:rPr>
        <w:t>付款方式</w:t>
      </w:r>
    </w:p>
    <w:p>
      <w:pPr>
        <w:pStyle w:val="2"/>
        <w:numPr>
          <w:ilvl w:val="0"/>
          <w:numId w:val="0"/>
        </w:numPr>
        <w:spacing w:line="360" w:lineRule="auto"/>
        <w:ind w:firstLine="420" w:firstLineChars="200"/>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成交供应商于2023年6月20</w:t>
      </w:r>
      <w:bookmarkStart w:id="0" w:name="_GoBack"/>
      <w:bookmarkEnd w:id="0"/>
      <w:r>
        <w:rPr>
          <w:rFonts w:hint="eastAsia" w:ascii="宋体" w:hAnsi="宋体" w:eastAsia="宋体" w:cs="宋体"/>
          <w:b w:val="0"/>
          <w:bCs w:val="0"/>
          <w:color w:val="auto"/>
          <w:kern w:val="2"/>
          <w:sz w:val="21"/>
          <w:szCs w:val="21"/>
          <w:lang w:val="en-US" w:eastAsia="zh-CN" w:bidi="ar-SA"/>
        </w:rPr>
        <w:t>日前提交《自查自纠服务检查结果报告》后，向甲方提出验收申请，《自查自纠服务检查结果报告》验收合格后，成交供应商提供合同全额的增值税普通发票，甲方确认发票无误后30天内支付该笔款项。</w:t>
      </w:r>
    </w:p>
    <w:p>
      <w:pPr>
        <w:pStyle w:val="2"/>
        <w:numPr>
          <w:ilvl w:val="0"/>
          <w:numId w:val="0"/>
        </w:numPr>
        <w:rPr>
          <w:rFonts w:hint="default" w:ascii="宋体" w:hAnsi="宋体" w:eastAsia="宋体" w:cs="宋体"/>
          <w:color w:val="auto"/>
          <w:szCs w:val="21"/>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ngLiU">
    <w:panose1 w:val="02020309000000000000"/>
    <w:charset w:val="88"/>
    <w:family w:val="modern"/>
    <w:pitch w:val="default"/>
    <w:sig w:usb0="00000003" w:usb1="082E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lang w:val="en-US"/>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w:rPr>
        <w:rFonts w:hint="eastAsia"/>
        <w:lang w:val="en-US" w:eastAsia="zh-CN"/>
      </w:rPr>
      <w:t>参数制定人：                                          参数审核人：</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D0504"/>
    <w:multiLevelType w:val="singleLevel"/>
    <w:tmpl w:val="BE5D0504"/>
    <w:lvl w:ilvl="0" w:tentative="0">
      <w:start w:val="5"/>
      <w:numFmt w:val="chineseCounting"/>
      <w:suff w:val="nothing"/>
      <w:lvlText w:val="%1、"/>
      <w:lvlJc w:val="left"/>
      <w:rPr>
        <w:rFonts w:hint="eastAsia"/>
      </w:rPr>
    </w:lvl>
  </w:abstractNum>
  <w:abstractNum w:abstractNumId="1">
    <w:nsid w:val="575ADD9B"/>
    <w:multiLevelType w:val="singleLevel"/>
    <w:tmpl w:val="575ADD9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ZGQ5ZDc1NTAyOWIyMzYxYmFmMDgxMmY5NjgyMzcifQ=="/>
  </w:docVars>
  <w:rsids>
    <w:rsidRoot w:val="00000000"/>
    <w:rsid w:val="0E7C01E1"/>
    <w:rsid w:val="283422A3"/>
    <w:rsid w:val="28C27B31"/>
    <w:rsid w:val="2CBD10EE"/>
    <w:rsid w:val="30F06487"/>
    <w:rsid w:val="4B9D5E3E"/>
    <w:rsid w:val="4DF12A69"/>
    <w:rsid w:val="53B03893"/>
    <w:rsid w:val="5FD53F75"/>
    <w:rsid w:val="786F3A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3">
    <w:name w:val="Normal Indent"/>
    <w:basedOn w:val="1"/>
    <w:qFormat/>
    <w:uiPriority w:val="0"/>
    <w:pPr>
      <w:ind w:left="720"/>
    </w:pPr>
  </w:style>
  <w:style w:type="paragraph" w:styleId="4">
    <w:name w:val="annotation text"/>
    <w:basedOn w:val="1"/>
    <w:link w:val="21"/>
    <w:qFormat/>
    <w:uiPriority w:val="0"/>
    <w:pPr>
      <w:jc w:val="left"/>
    </w:pPr>
  </w:style>
  <w:style w:type="paragraph" w:styleId="5">
    <w:name w:val="Body Text"/>
    <w:basedOn w:val="1"/>
    <w:unhideWhenUsed/>
    <w:qFormat/>
    <w:uiPriority w:val="99"/>
    <w:pPr>
      <w:spacing w:after="120"/>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22"/>
    <w:qFormat/>
    <w:uiPriority w:val="0"/>
    <w:rPr>
      <w:b/>
      <w:bCs/>
    </w:rPr>
  </w:style>
  <w:style w:type="paragraph" w:styleId="11">
    <w:name w:val="Body Text First Indent"/>
    <w:basedOn w:val="5"/>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customStyle="1" w:styleId="16">
    <w:name w:val="列出段落1"/>
    <w:basedOn w:val="1"/>
    <w:qFormat/>
    <w:uiPriority w:val="0"/>
    <w:pPr>
      <w:ind w:firstLine="420" w:firstLineChars="200"/>
    </w:pPr>
    <w:rPr>
      <w:rFonts w:ascii="Calibri" w:hAnsi="Calibri"/>
      <w:szCs w:val="22"/>
    </w:rPr>
  </w:style>
  <w:style w:type="paragraph" w:customStyle="1" w:styleId="17">
    <w:name w:val="Bullet"/>
    <w:basedOn w:val="1"/>
    <w:qFormat/>
    <w:uiPriority w:val="0"/>
    <w:pPr>
      <w:tabs>
        <w:tab w:val="left" w:pos="360"/>
        <w:tab w:val="left" w:pos="420"/>
      </w:tabs>
      <w:spacing w:line="360" w:lineRule="exact"/>
    </w:pPr>
    <w:rPr>
      <w:sz w:val="24"/>
    </w:rPr>
  </w:style>
  <w:style w:type="paragraph" w:customStyle="1" w:styleId="18">
    <w:name w:val="Other|1"/>
    <w:basedOn w:val="1"/>
    <w:qFormat/>
    <w:uiPriority w:val="0"/>
    <w:pPr>
      <w:spacing w:line="245" w:lineRule="exact"/>
    </w:pPr>
    <w:rPr>
      <w:rFonts w:ascii="MingLiU" w:hAnsi="MingLiU" w:eastAsia="MingLiU" w:cs="MingLiU"/>
      <w:color w:val="000000"/>
      <w:sz w:val="17"/>
      <w:szCs w:val="17"/>
      <w:lang w:val="zh-TW" w:eastAsia="zh-TW" w:bidi="zh-TW"/>
    </w:rPr>
  </w:style>
  <w:style w:type="paragraph" w:customStyle="1" w:styleId="19">
    <w:name w:val="正文缩进2格"/>
    <w:basedOn w:val="1"/>
    <w:qFormat/>
    <w:uiPriority w:val="0"/>
    <w:pPr>
      <w:spacing w:line="600" w:lineRule="exact"/>
      <w:ind w:firstLine="639" w:firstLineChars="206"/>
    </w:pPr>
    <w:rPr>
      <w:rFonts w:hint="eastAsia" w:ascii="仿宋_GB2312" w:hAnsi="宋体" w:eastAsia="仿宋_GB2312" w:cs="Times New Roman"/>
      <w:sz w:val="31"/>
      <w:szCs w:val="22"/>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1">
    <w:name w:val="批注文字 Char"/>
    <w:basedOn w:val="14"/>
    <w:link w:val="4"/>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10"/>
    <w:qFormat/>
    <w:uiPriority w:val="0"/>
    <w:rPr>
      <w:rFonts w:asciiTheme="minorHAnsi" w:hAnsiTheme="minorHAnsi" w:eastAsiaTheme="minorEastAsia" w:cstheme="minorBidi"/>
      <w:b/>
      <w:bCs/>
      <w:kern w:val="2"/>
      <w:sz w:val="21"/>
      <w:szCs w:val="24"/>
    </w:rPr>
  </w:style>
  <w:style w:type="character" w:customStyle="1" w:styleId="23">
    <w:name w:val="批注框文本 Char"/>
    <w:basedOn w:val="14"/>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1642</Words>
  <Characters>1691</Characters>
  <Lines>27</Lines>
  <Paragraphs>7</Paragraphs>
  <TotalTime>0</TotalTime>
  <ScaleCrop>false</ScaleCrop>
  <LinksUpToDate>false</LinksUpToDate>
  <CharactersWithSpaces>1701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2020-11-07T04:39:00Z</dcterms:created>
  <dc:creator>zstzgx</dc:creator>
  <cp:lastModifiedBy>Administrator</cp:lastModifiedBy>
  <cp:lastPrinted>2023-02-07T02:10:00Z</cp:lastPrinted>
  <dcterms:modified xsi:type="dcterms:W3CDTF">2023-05-26T07:24:05Z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4D98705037A64F3FA88B95C0219356CE_13</vt:lpwstr>
  </property>
</Properties>
</file>