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731"/>
        <w:gridCol w:w="1975"/>
        <w:gridCol w:w="3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hint="default" w:ascii="宋体" w:hAnsi="宋体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default" w:ascii="宋体" w:hAnsi="宋体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正/负/无偏离</w:t>
            </w: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激光波长532nm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激光类型：固态激光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光斑大小：50-1000um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输出功率：50-1500mW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31" w:type="dxa"/>
          </w:tcPr>
          <w:p>
            <w:pPr>
              <w:tabs>
                <w:tab w:val="center" w:pos="3691"/>
              </w:tabs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脉冲间隔时间;100-1000ms ，和单脉冲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975" w:type="dxa"/>
          </w:tcPr>
          <w:p>
            <w:pPr>
              <w:tabs>
                <w:tab w:val="center" w:pos="3691"/>
              </w:tabs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tabs>
                <w:tab w:val="center" w:pos="3691"/>
              </w:tabs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脉冲持续时间：10-2500ms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瞄准光：635nm，能量可调，连续波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冷却方式：空气、热电冷却、电子散热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光纤接口：</w:t>
            </w: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</w:rPr>
              <w:t>FC和SMA双光纤输出口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激光输出类型：单点脉冲、持续脉冲    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传输系统：</w:t>
            </w: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</w:rPr>
              <w:t xml:space="preserve">可接上光源和下光源裂隙灯，激光间接检眼镜，眼内探针 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裂隙灯5极放大、医生保护滤片 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裂隙宽度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0至15mm连续可变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裂隙高度：1至15mm连续可变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裂隙灯照明亮度：连续可调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控制面板：彩色触摸屏 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脚踏开关：可调节激光能量大小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含有阈值下光凝模式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阈值下光凝模式：脉冲时间：0.05ms-0.5ms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阈值下光凝模式：脉冲占空比：5%、10%、15%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31" w:type="dxa"/>
          </w:tcPr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含多点扫描模式，或者可升级为多点扫描模式     </w:t>
            </w:r>
          </w:p>
        </w:tc>
        <w:tc>
          <w:tcPr>
            <w:tcW w:w="1975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55 Roman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E186FB8"/>
    <w:rsid w:val="3E4660FB"/>
    <w:rsid w:val="49C63EF3"/>
    <w:rsid w:val="5DFC3CC7"/>
    <w:rsid w:val="689A179C"/>
    <w:rsid w:val="6A99664B"/>
    <w:rsid w:val="71EF55AC"/>
    <w:rsid w:val="732D564A"/>
    <w:rsid w:val="782E18ED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14"/>
    <w:qFormat/>
    <w:uiPriority w:val="99"/>
    <w:rPr>
      <w:rFonts w:ascii="Helvetica 55 Roman" w:eastAsia="Helvetica 55 Roman" w:cs="Helvetica 55 Roman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0</TotalTime>
  <ScaleCrop>false</ScaleCrop>
  <LinksUpToDate>false</LinksUpToDate>
  <CharactersWithSpaces>367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2023-05-08T08:14:10Z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D190F50C7E8745A49F84DEFBBA46E5D7</vt:lpwstr>
  </property>
</Properties>
</file>