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cs="宋体"/>
          <w:b/>
          <w:bCs/>
          <w:color w:val="auto"/>
          <w:sz w:val="36"/>
          <w:szCs w:val="36"/>
          <w:highlight w:val="none"/>
          <w:lang w:val="en-US" w:eastAsia="zh-CN"/>
        </w:rPr>
        <w:t>等离子射频手术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cs="宋体"/>
          <w:b/>
          <w:bCs/>
          <w:color w:val="auto"/>
          <w:sz w:val="36"/>
          <w:szCs w:val="36"/>
          <w:highlight w:val="none"/>
          <w:lang w:val="en-US" w:eastAsia="zh-CN"/>
        </w:rPr>
        <w:t>系统</w:t>
      </w:r>
      <w:r>
        <w:rPr>
          <w:rFonts w:hint="eastAsia" w:ascii="宋体" w:hAnsi="宋体" w:eastAsia="宋体" w:cs="宋体"/>
          <w:b/>
          <w:bCs/>
          <w:color w:val="auto"/>
          <w:sz w:val="36"/>
          <w:szCs w:val="36"/>
          <w:highlight w:val="none"/>
        </w:rPr>
        <w:t>采购项目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第四次</w:t>
      </w:r>
      <w:r>
        <w:rPr>
          <w:rFonts w:hint="eastAsia" w:ascii="宋体" w:hAnsi="宋体" w:cs="宋体"/>
          <w:b/>
          <w:bCs/>
          <w:color w:val="auto"/>
          <w:sz w:val="36"/>
          <w:szCs w:val="36"/>
          <w:highlight w:val="none"/>
          <w:lang w:eastAsia="zh-CN"/>
        </w:rPr>
        <w:t>）</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2023</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lang w:eastAsia="zh-CN"/>
        </w:rPr>
        <w:t>月</w:t>
      </w: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3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 xml:space="preserve">综合评审最优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49000</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等离子射频手术系统（第四次）</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1台</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49000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2023年5月12</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厂家资质证件（包括但不限于营业执照、医疗器械生产许可证等）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各级经销商资质证件（包括但不限于营业执照、医疗器械经营许可证、备案等）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产品医疗器械注册证</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产品配置清单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近三年报价产品合同复印件或成交通知书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耗材信息表</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2023年5月6</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3.本项目不接受联合体、中标供应商不得以任何方式转包本项目。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5.★投标供应商应该符合《医疗器械监督管理条例》规定，如投标供应商为生产厂家，还应该符合《医疗器械生产质量管理规范》规定，如投标供应商为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6.本文的“质保期”是指中标标的物经约定的验收机构完成验收之日起算，截止中标人承诺的期限。</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52"/>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2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250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w:t>
            </w:r>
            <w:r>
              <w:rPr>
                <w:rFonts w:hint="eastAsia" w:ascii="仿宋" w:hAnsi="仿宋" w:eastAsia="仿宋" w:cs="仿宋"/>
                <w:color w:val="000000"/>
                <w:sz w:val="24"/>
                <w:highlight w:val="none"/>
                <w:lang w:val="en-US" w:eastAsia="zh-CN"/>
              </w:rPr>
              <w:t>台</w:t>
            </w:r>
            <w:r>
              <w:rPr>
                <w:rFonts w:hint="eastAsia" w:ascii="仿宋" w:hAnsi="仿宋" w:eastAsia="仿宋" w:cs="仿宋"/>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等离子射频手术系统（第四次）</w:t>
            </w:r>
          </w:p>
        </w:tc>
        <w:tc>
          <w:tcPr>
            <w:tcW w:w="2268"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耳鼻喉科</w:t>
            </w:r>
          </w:p>
        </w:tc>
        <w:tc>
          <w:tcPr>
            <w:tcW w:w="2508"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ascii="仿宋" w:hAnsi="仿宋" w:eastAsia="仿宋" w:cs="仿宋"/>
          <w:b/>
          <w:color w:val="000000"/>
          <w:sz w:val="24"/>
          <w:highlight w:val="none"/>
        </w:rPr>
      </w:pP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9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rPr>
              <w:t>具有射频消融功能（双极射频电极消融）和等离子消融切割功能</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rPr>
              <w:t>具有内镜下消融切割和止血功能</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咽喉镜、纤支镜下专用电极，可通过内镜钳道进行手术。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时间可控制在500毫秒内。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工作频率100KHz。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最大功率不低于360W。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自动检测附件及刀头功能：能在连接好脚踏和手柄后主机根据不同刀头自动设置默认功率大小。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安全可控：低温控制：工作温度仅为40-70℃，创面无碳化，对周边组织损伤小。操作精确：消融作用在靶组织表面，离子作用仅为130微米。创伤轻微：黏膜损伤小、出血少、疼痛轻、恢复快。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开展头颈肿瘤甲状腺开放性手术等离子功能，满足滴注、吸引、切割、止血，刀头采用双极方式设计，实现双侧吸引，双侧切割、止血的功能。刀头前段直径0.3mm实现精准切割、精准剥离组织。刀杆抓手到刀头尖端小于130mm,使得操作者作用力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耳内镜下开展耳科手术等离子功能，实现切割、止血、消融、凝固、滴注、吸引等功能等结合；刀头电极厚度0.25MM、电极宽度2.6MM、刀头直径3.3MM实现精准切割、精准剥离组织、刀杆长65MM使得操作者作用力精准，能充分满足耳内竟手术的各种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经耳道内竟水下操作灌流术式等离子功能，配备45度勾刀、0度皮瓣刀、45度皮瓣刀、勾状剥离器组合开展经耳道内竟水下操作灌流术式等离子刀头。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电极（刀头）为已灭菌一次性无菌产品，并具有药监部门一次性无菌体系考核证书。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根据不同手术部位，不同的病症配备不同长短、粗细、弧度、能量级的治疗刀头。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highlight w:val="none"/>
              </w:rPr>
              <w:t>在同一支刀头、同一个输出接口输出，能同时实现消融、凝固、止血、切割功能，避免了手术操作过程中频繁更换治疗刀头的麻烦</w:t>
            </w:r>
            <w:r>
              <w:rPr>
                <w:rFonts w:hint="eastAsia" w:ascii="宋体" w:hAnsi="宋体"/>
                <w:color w:val="000000"/>
                <w:sz w:val="24"/>
                <w:highlight w:val="none"/>
              </w:rPr>
              <w:cr/>
            </w:r>
            <w:r>
              <w:rPr>
                <w:rFonts w:hint="eastAsia" w:ascii="宋体" w:hAnsi="宋体"/>
                <w:color w:val="000000"/>
                <w:sz w:val="24"/>
                <w:highlight w:val="none"/>
              </w:rPr>
              <w:t>具备多极吸引切割功能及配置，适合开展扁桃体、腺样体、乳头状瘤、息肉、CAUP、UPPP等。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具有独立的医疗器械注册证的一次性射频消融电极针。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16</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喉科专用刀头，设计有1.9mm、2.5mm、3.4mm、3.8mm直径的刀头，能充分满足喉深部、声门等的各种病变。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具有儿童专用刀头（刀杆长130-131mm；外刀杆直径：≤3.8mm，常规刀头在4.2-6.0mm的直径）。通过双环、放重力、防堵塞设计，使该刀头切割、消融、吸引能力更强，刀头更细，对周围组织损伤更小，适宜精准操作和儿童狭窄的生理结构下的手术操作，能适应更窄小的位置手术，同时能够到达传统刀头到达不了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color w:val="000000"/>
                <w:sz w:val="24"/>
              </w:rPr>
              <w:t>配套医用耗材：必须提供国家医保耗材代码，必须提供广东省药品电子交易平台的药交ID。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w:t>
            </w:r>
          </w:p>
        </w:tc>
        <w:tc>
          <w:tcPr>
            <w:tcW w:w="7599" w:type="dxa"/>
            <w:noWrap w:val="0"/>
            <w:vAlign w:val="top"/>
          </w:tcPr>
          <w:p>
            <w:pPr>
              <w:pStyle w:val="61"/>
              <w:tabs>
                <w:tab w:val="left" w:pos="1079"/>
              </w:tabs>
              <w:spacing w:before="160"/>
              <w:ind w:left="0" w:leftChars="0" w:firstLine="0" w:firstLineChars="0"/>
              <w:jc w:val="left"/>
              <w:rPr>
                <w:rFonts w:ascii="仿宋" w:hAnsi="仿宋" w:eastAsia="仿宋" w:cs="仿宋"/>
                <w:b/>
                <w:color w:val="000000"/>
                <w:sz w:val="24"/>
                <w:highlight w:val="none"/>
              </w:rPr>
            </w:pPr>
            <w:r>
              <w:rPr>
                <w:rFonts w:hint="eastAsia" w:ascii="宋体" w:hAnsi="宋体" w:eastAsia="宋体"/>
                <w:color w:val="000000"/>
                <w:sz w:val="24"/>
                <w:lang w:val="en-US" w:eastAsia="zh-CN"/>
              </w:rPr>
              <w:t>原厂保修2年。</w:t>
            </w:r>
          </w:p>
        </w:tc>
      </w:tr>
    </w:tbl>
    <w:p>
      <w:pPr>
        <w:spacing w:line="440" w:lineRule="exact"/>
        <w:rPr>
          <w:rFonts w:ascii="仿宋" w:hAnsi="仿宋" w:eastAsia="仿宋" w:cs="仿宋"/>
          <w:b/>
          <w:color w:val="000000"/>
          <w:sz w:val="24"/>
          <w:highlight w:val="none"/>
        </w:rPr>
      </w:pPr>
    </w:p>
    <w:p>
      <w:pPr>
        <w:pStyle w:val="61"/>
        <w:numPr>
          <w:ilvl w:val="0"/>
          <w:numId w:val="0"/>
        </w:numPr>
        <w:spacing w:line="440" w:lineRule="exact"/>
        <w:ind w:leftChars="0"/>
        <w:rPr>
          <w:rFonts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四、</w:t>
      </w: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生产日期距交付时的时间差不超过</w:t>
      </w:r>
      <w:r>
        <w:rPr>
          <w:rFonts w:hint="eastAsia" w:ascii="仿宋" w:hAnsi="仿宋" w:eastAsia="仿宋" w:cs="仿宋"/>
          <w:color w:val="000000"/>
          <w:sz w:val="24"/>
          <w:highlight w:val="none"/>
          <w:u w:val="single"/>
          <w:lang w:val="en-US" w:eastAsia="zh-CN"/>
        </w:rPr>
        <w:t>6个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1.3中标供应商须保证中标后所提供的设备为原装、全新合格的产品。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lang w:val="en-US" w:eastAsia="zh-CN"/>
        </w:rPr>
        <w:t>2</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具体付款方式：本合同分</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5%的款项。第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期：合同总金额的5%的款项在</w:t>
      </w:r>
      <w:r>
        <w:rPr>
          <w:rFonts w:hint="eastAsia" w:ascii="仿宋" w:hAnsi="仿宋" w:eastAsia="仿宋" w:cs="仿宋"/>
          <w:color w:val="auto"/>
          <w:sz w:val="24"/>
          <w:highlight w:val="none"/>
          <w:u w:val="single"/>
        </w:rPr>
        <w:t xml:space="preserve">  （填质保期）   </w:t>
      </w:r>
      <w:r>
        <w:rPr>
          <w:rFonts w:hint="eastAsia" w:ascii="仿宋" w:hAnsi="仿宋" w:eastAsia="仿宋" w:cs="仿宋"/>
          <w:color w:val="auto"/>
          <w:sz w:val="24"/>
          <w:highlight w:val="none"/>
        </w:rPr>
        <w:t>年后无息支付。</w:t>
      </w:r>
    </w:p>
    <w:p>
      <w:pPr>
        <w:pStyle w:val="2"/>
        <w:rPr>
          <w:rFonts w:hint="eastAsia" w:ascii="宋体" w:hAnsi="宋体" w:eastAsia="宋体" w:cs="宋体"/>
          <w:color w:val="auto"/>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9"/>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ind w:left="0" w:leftChars="0" w:firstLine="0" w:firstLineChars="0"/>
        <w:rPr>
          <w:rFonts w:hint="eastAsia"/>
          <w:lang w:val="en-US" w:eastAsia="zh-CN"/>
        </w:rPr>
      </w:pPr>
    </w:p>
    <w:p>
      <w:pPr>
        <w:pStyle w:val="61"/>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分值权重：</w:t>
      </w:r>
    </w:p>
    <w:tbl>
      <w:tblPr>
        <w:tblStyle w:val="5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商务评审</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技术评审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价格评审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15%</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55%</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100%</w:t>
            </w: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商务评审：</w:t>
      </w:r>
    </w:p>
    <w:tbl>
      <w:tblPr>
        <w:tblStyle w:val="51"/>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供应商</w:t>
            </w:r>
          </w:p>
          <w:p>
            <w:pPr>
              <w:wordWrap w:val="0"/>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根据供应商的投标文件的响应程度进行评审。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投标文件的响应符合用户需求书的商务要求，得5分；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投标文件部分响应用户需求书的商务要求，得2分；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投标文件的响应较差或无，得0分。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201</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年至今承接同类项目业绩（应同时满足以下条件： ①以投标人名义签订；② 合同标的为本项目同类设备），每提供1份得1分，本小项满分4分。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1198"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质量保证措施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在用户需求质保期要求的基础上延长1年，得1分；延长2年，得2分；延长3年，得4分；延长4年，得6分。本项最高得分不超过6分。（延长的质保期须为原厂质保）</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15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技术评审：</w:t>
      </w:r>
    </w:p>
    <w:tbl>
      <w:tblPr>
        <w:tblStyle w:val="5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445"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1032"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评分指标</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供应商</w:t>
            </w:r>
          </w:p>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一般条款响应程度</w:t>
            </w:r>
          </w:p>
        </w:tc>
        <w:tc>
          <w:tcPr>
            <w:tcW w:w="441"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30</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根据投标人对用户需求中一般条款（非“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项以内（含</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项），每项扣</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0"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所投设备配置、选型及供货能力</w:t>
            </w:r>
          </w:p>
          <w:p>
            <w:pPr>
              <w:rPr>
                <w:rFonts w:ascii="仿宋" w:hAnsi="仿宋" w:eastAsia="仿宋" w:cs="仿宋"/>
                <w:color w:val="000000"/>
                <w:sz w:val="24"/>
                <w:highlight w:val="none"/>
              </w:rPr>
            </w:pPr>
          </w:p>
        </w:tc>
        <w:tc>
          <w:tcPr>
            <w:tcW w:w="441"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1.所投设备配置、选型及性能完全满足用户需求，供货及时，能有稳定供货渠道的得8 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2.所投设备配置、选型、性能等能基本满足用户需求，但存在不足的得5分；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3.所投设备配置、选型、性能及供货能力等基本不满足用户需求的得 0分。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（备注：提供设备配置清单或体现供货能力的相关证明材料，如相关认证、技术说明书或有效检验报告等证明材料。不提供的不得分。）</w:t>
            </w:r>
          </w:p>
        </w:tc>
        <w:tc>
          <w:tcPr>
            <w:tcW w:w="996" w:type="dxa"/>
            <w:vMerge w:val="restart"/>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设备技术支撑程度和可靠性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根据供应商所投设备的技术和可靠性（技术支撑程度、工作原理，自动化程度、运行稳定性程度等）进行评审。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1.所投设备技术先进，可靠性强的，有较强的技术支持，工作原理先进，有较强的自动化能力，稳定运行性较强，得8分；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2.所投设备技术较先进，可靠性一般，有稳定的技术支持，工作原理较为先进，能自动化使用，有一定的稳定运行性，得5分；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3.所投设备技术一般，技术支持较为一般，工作原理简单，自动化能力一般，运行性较一般，得2分；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设备操作的实用性、拓展性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9</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w:t>
            </w:r>
            <w:r>
              <w:rPr>
                <w:rFonts w:hint="eastAsia" w:ascii="仿宋" w:hAnsi="仿宋" w:eastAsia="仿宋" w:cs="仿宋"/>
                <w:color w:val="000000"/>
                <w:sz w:val="24"/>
                <w:highlight w:val="none"/>
                <w:lang w:val="zh-CN"/>
              </w:rPr>
              <w:t>操作的实用性（</w:t>
            </w:r>
            <w:r>
              <w:rPr>
                <w:rFonts w:hint="eastAsia" w:ascii="仿宋" w:hAnsi="仿宋" w:eastAsia="仿宋" w:cs="仿宋"/>
                <w:color w:val="000000"/>
                <w:sz w:val="24"/>
                <w:highlight w:val="none"/>
              </w:rPr>
              <w:t>操作便利性、维修简易性</w:t>
            </w:r>
            <w:r>
              <w:rPr>
                <w:rFonts w:hint="eastAsia" w:ascii="仿宋" w:hAnsi="仿宋" w:eastAsia="仿宋" w:cs="仿宋"/>
                <w:color w:val="000000"/>
                <w:sz w:val="24"/>
                <w:highlight w:val="none"/>
                <w:lang w:val="zh-CN"/>
              </w:rPr>
              <w:t>）、拓展性（功能后续可否随技术、采购人新需求等原因进行升级）</w:t>
            </w:r>
            <w:r>
              <w:rPr>
                <w:rFonts w:hint="eastAsia" w:ascii="仿宋" w:hAnsi="仿宋" w:eastAsia="仿宋" w:cs="仿宋"/>
                <w:color w:val="000000"/>
                <w:sz w:val="24"/>
                <w:highlight w:val="none"/>
              </w:rPr>
              <w:t>进行评审（须提供相关说明/证明材料）。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w:t>
            </w:r>
            <w:r>
              <w:rPr>
                <w:rFonts w:hint="eastAsia" w:ascii="仿宋" w:hAnsi="仿宋" w:eastAsia="仿宋" w:cs="仿宋"/>
                <w:color w:val="000000"/>
                <w:sz w:val="24"/>
                <w:highlight w:val="none"/>
                <w:lang w:val="zh-CN"/>
              </w:rPr>
              <w:t>操作</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val="zh-CN"/>
              </w:rPr>
              <w:t>实用性、拓展性</w:t>
            </w:r>
            <w:r>
              <w:rPr>
                <w:rFonts w:hint="eastAsia" w:ascii="仿宋" w:hAnsi="仿宋" w:eastAsia="仿宋" w:cs="仿宋"/>
                <w:color w:val="000000"/>
                <w:sz w:val="24"/>
                <w:highlight w:val="none"/>
              </w:rPr>
              <w:t>强的</w:t>
            </w:r>
            <w:r>
              <w:rPr>
                <w:rFonts w:hint="eastAsia" w:ascii="仿宋" w:hAnsi="仿宋" w:eastAsia="仿宋" w:cs="仿宋"/>
                <w:color w:val="000000"/>
                <w:sz w:val="24"/>
                <w:highlight w:val="none"/>
                <w:lang w:val="zh-CN"/>
              </w:rPr>
              <w:t>，得</w:t>
            </w:r>
            <w:r>
              <w:rPr>
                <w:rFonts w:hint="eastAsia" w:ascii="仿宋" w:hAnsi="仿宋" w:eastAsia="仿宋" w:cs="仿宋"/>
                <w:color w:val="000000"/>
                <w:sz w:val="24"/>
                <w:highlight w:val="none"/>
              </w:rPr>
              <w:t>9分；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w:t>
            </w:r>
            <w:r>
              <w:rPr>
                <w:rFonts w:hint="eastAsia" w:ascii="仿宋" w:hAnsi="仿宋" w:eastAsia="仿宋" w:cs="仿宋"/>
                <w:color w:val="000000"/>
                <w:sz w:val="24"/>
                <w:highlight w:val="none"/>
                <w:lang w:val="zh-CN"/>
              </w:rPr>
              <w:t>操作的实用性、拓展性</w:t>
            </w:r>
            <w:r>
              <w:rPr>
                <w:rFonts w:hint="eastAsia" w:ascii="仿宋" w:hAnsi="仿宋" w:eastAsia="仿宋" w:cs="仿宋"/>
                <w:color w:val="000000"/>
                <w:sz w:val="24"/>
                <w:highlight w:val="none"/>
              </w:rPr>
              <w:t>较强</w:t>
            </w:r>
            <w:r>
              <w:rPr>
                <w:rFonts w:hint="eastAsia" w:ascii="仿宋" w:hAnsi="仿宋" w:eastAsia="仿宋" w:cs="仿宋"/>
                <w:color w:val="000000"/>
                <w:sz w:val="24"/>
                <w:highlight w:val="none"/>
                <w:lang w:val="zh-CN"/>
              </w:rPr>
              <w:t>的，得</w:t>
            </w:r>
            <w:r>
              <w:rPr>
                <w:rFonts w:hint="eastAsia" w:ascii="仿宋" w:hAnsi="仿宋" w:eastAsia="仿宋" w:cs="仿宋"/>
                <w:color w:val="000000"/>
                <w:sz w:val="24"/>
                <w:highlight w:val="none"/>
              </w:rPr>
              <w:t>6分；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w:t>
            </w:r>
            <w:r>
              <w:rPr>
                <w:rFonts w:hint="eastAsia" w:ascii="仿宋" w:hAnsi="仿宋" w:eastAsia="仿宋" w:cs="仿宋"/>
                <w:color w:val="000000"/>
                <w:sz w:val="24"/>
                <w:highlight w:val="none"/>
                <w:lang w:val="zh-CN"/>
              </w:rPr>
              <w:t>操作的实用性、拓展性一般的，得</w:t>
            </w:r>
            <w:r>
              <w:rPr>
                <w:rFonts w:hint="eastAsia" w:ascii="仿宋" w:hAnsi="仿宋" w:eastAsia="仿宋" w:cs="仿宋"/>
                <w:color w:val="000000"/>
                <w:sz w:val="24"/>
                <w:highlight w:val="none"/>
              </w:rPr>
              <w:t>3分；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w:t>
            </w:r>
            <w:r>
              <w:rPr>
                <w:rFonts w:hint="eastAsia" w:ascii="仿宋" w:hAnsi="仿宋" w:eastAsia="仿宋" w:cs="仿宋"/>
                <w:color w:val="000000"/>
                <w:sz w:val="24"/>
                <w:highlight w:val="none"/>
                <w:lang w:val="zh-CN"/>
              </w:rPr>
              <w:t>操作的实用性、拓展性差的，得</w:t>
            </w:r>
            <w:r>
              <w:rPr>
                <w:rFonts w:hint="eastAsia" w:ascii="仿宋" w:hAnsi="仿宋" w:eastAsia="仿宋" w:cs="仿宋"/>
                <w:color w:val="000000"/>
                <w:sz w:val="24"/>
                <w:highlight w:val="none"/>
              </w:rPr>
              <w:t>0分。</w:t>
            </w:r>
          </w:p>
        </w:tc>
        <w:tc>
          <w:tcPr>
            <w:tcW w:w="996" w:type="dxa"/>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55</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shd w:val="clear" w:color="000000" w:fill="auto"/>
            <w:noWrap w:val="0"/>
            <w:vAlign w:val="center"/>
          </w:tcPr>
          <w:p>
            <w:pPr>
              <w:rPr>
                <w:rFonts w:ascii="仿宋" w:hAnsi="仿宋" w:eastAsia="仿宋" w:cs="仿宋"/>
                <w:color w:val="000000"/>
                <w:sz w:val="24"/>
                <w:highlight w:val="none"/>
              </w:rPr>
            </w:pPr>
          </w:p>
        </w:tc>
      </w:tr>
    </w:tbl>
    <w:p>
      <w:pPr>
        <w:rPr>
          <w:rFonts w:ascii="仿宋" w:hAnsi="仿宋" w:eastAsia="仿宋" w:cs="仿宋"/>
          <w:color w:val="000000"/>
          <w:sz w:val="24"/>
          <w:highlight w:val="none"/>
          <w:lang w:val="zh-CN"/>
        </w:rPr>
      </w:pPr>
    </w:p>
    <w:p>
      <w:pPr>
        <w:rPr>
          <w:rFonts w:hint="eastAsia"/>
        </w:rPr>
      </w:pPr>
    </w:p>
    <w:p>
      <w:pPr>
        <w:pStyle w:val="2"/>
        <w:rPr>
          <w:rFonts w:hint="eastAsia"/>
        </w:rPr>
        <w:sectPr>
          <w:pgSz w:w="11907" w:h="16840"/>
          <w:pgMar w:top="1418" w:right="1418" w:bottom="1418" w:left="1418" w:header="567" w:footer="748" w:gutter="0"/>
          <w:cols w:space="720" w:num="1"/>
          <w:docGrid w:linePitch="312" w:charSpace="0"/>
        </w:sectPr>
      </w:pPr>
    </w:p>
    <w:p>
      <w:pPr>
        <w:pStyle w:val="4"/>
        <w:bidi w:val="0"/>
        <w:jc w:val="both"/>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9"/>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6"/>
          <w:szCs w:val="36"/>
          <w:highlight w:val="none"/>
          <w:lang w:val="en-US" w:eastAsia="zh-CN"/>
        </w:rPr>
      </w:pPr>
      <w:r>
        <w:rPr>
          <w:rFonts w:hint="eastAsia" w:ascii="宋体" w:hAnsi="宋体" w:eastAsia="宋体"/>
          <w:b/>
          <w:color w:val="auto"/>
          <w:sz w:val="32"/>
          <w:szCs w:val="32"/>
        </w:rPr>
        <w:t>项目名称：</w:t>
      </w:r>
      <w:r>
        <w:rPr>
          <w:rFonts w:hint="eastAsia" w:ascii="宋体" w:hAnsi="宋体" w:eastAsia="宋体" w:cs="宋体"/>
          <w:b/>
          <w:bCs/>
          <w:color w:val="auto"/>
          <w:sz w:val="36"/>
          <w:szCs w:val="36"/>
          <w:highlight w:val="none"/>
        </w:rPr>
        <w:t>中山市小榄人民医院</w:t>
      </w:r>
      <w:r>
        <w:rPr>
          <w:rFonts w:hint="eastAsia" w:ascii="宋体" w:hAnsi="宋体" w:cs="宋体"/>
          <w:b/>
          <w:bCs/>
          <w:color w:val="auto"/>
          <w:sz w:val="36"/>
          <w:szCs w:val="36"/>
          <w:highlight w:val="none"/>
          <w:lang w:val="en-US" w:eastAsia="zh-CN"/>
        </w:rPr>
        <w:t>等离子射频手术</w:t>
      </w:r>
    </w:p>
    <w:p>
      <w:pPr>
        <w:pStyle w:val="22"/>
        <w:spacing w:line="360" w:lineRule="auto"/>
        <w:ind w:firstLine="1446" w:firstLineChars="400"/>
        <w:rPr>
          <w:rFonts w:hint="eastAsia" w:ascii="宋体" w:hAnsi="宋体" w:eastAsia="宋体"/>
          <w:b/>
          <w:color w:val="auto"/>
          <w:sz w:val="32"/>
          <w:szCs w:val="32"/>
          <w:u w:val="single"/>
          <w:lang w:eastAsia="zh-CN"/>
        </w:rPr>
      </w:pPr>
      <w:r>
        <w:rPr>
          <w:rFonts w:hint="eastAsia" w:ascii="宋体" w:hAnsi="宋体" w:cs="宋体"/>
          <w:b/>
          <w:bCs/>
          <w:color w:val="auto"/>
          <w:sz w:val="36"/>
          <w:szCs w:val="36"/>
          <w:highlight w:val="none"/>
          <w:lang w:val="en-US" w:eastAsia="zh-CN"/>
        </w:rPr>
        <w:t>系统</w:t>
      </w:r>
      <w:r>
        <w:rPr>
          <w:rFonts w:hint="eastAsia" w:ascii="宋体" w:hAnsi="宋体" w:eastAsia="宋体" w:cs="宋体"/>
          <w:b/>
          <w:bCs/>
          <w:color w:val="auto"/>
          <w:sz w:val="36"/>
          <w:szCs w:val="36"/>
          <w:highlight w:val="none"/>
        </w:rPr>
        <w:t>采购项目</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第四次</w:t>
      </w:r>
      <w:r>
        <w:rPr>
          <w:rFonts w:hint="eastAsia" w:ascii="宋体" w:hAnsi="宋体" w:eastAsia="宋体" w:cs="宋体"/>
          <w:b/>
          <w:bCs/>
          <w:color w:val="auto"/>
          <w:sz w:val="36"/>
          <w:szCs w:val="36"/>
          <w:highlight w:val="none"/>
          <w:lang w:eastAsia="zh-CN"/>
        </w:rPr>
        <w:t>）</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lang w:val="en-US" w:eastAsia="zh-CN"/>
        </w:rPr>
      </w:pPr>
    </w:p>
    <w:p>
      <w:pPr>
        <w:pStyle w:val="61"/>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技术参数</w:t>
            </w:r>
            <w:r>
              <w:rPr>
                <w:rFonts w:hint="eastAsia" w:ascii="宋体" w:hAnsi="宋体" w:eastAsia="宋体" w:cs="宋体"/>
                <w:color w:val="auto"/>
                <w:kern w:val="0"/>
                <w:sz w:val="21"/>
                <w:szCs w:val="21"/>
                <w:highlight w:val="none"/>
                <w:lang w:val="zh-CN"/>
              </w:rPr>
              <w:t>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商务部分</w:t>
            </w:r>
            <w:r>
              <w:rPr>
                <w:rFonts w:hint="eastAsia" w:ascii="宋体" w:hAnsi="宋体" w:eastAsia="宋体" w:cs="宋体"/>
                <w:color w:val="auto"/>
                <w:kern w:val="0"/>
                <w:sz w:val="21"/>
                <w:szCs w:val="21"/>
                <w:highlight w:val="none"/>
                <w:lang w:val="zh-CN"/>
              </w:rPr>
              <w:t>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商务</w:t>
            </w:r>
            <w:r>
              <w:rPr>
                <w:rFonts w:hint="eastAsia" w:ascii="宋体" w:hAnsi="宋体" w:eastAsia="宋体" w:cs="宋体"/>
                <w:color w:val="auto"/>
                <w:kern w:val="0"/>
                <w:sz w:val="21"/>
                <w:szCs w:val="21"/>
                <w:highlight w:val="none"/>
                <w:lang w:val="zh-CN"/>
              </w:rPr>
              <w:t>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pStyle w:val="2"/>
        <w:rPr>
          <w:rFonts w:hint="eastAsia"/>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tbl>
      <w:tblPr>
        <w:tblStyle w:val="52"/>
        <w:tblpPr w:leftFromText="180" w:rightFromText="180" w:vertAnchor="text" w:horzAnchor="page" w:tblpX="1080" w:tblpY="123"/>
        <w:tblOverlap w:val="never"/>
        <w:tblW w:w="10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346"/>
        <w:gridCol w:w="1305"/>
        <w:gridCol w:w="1500"/>
        <w:gridCol w:w="169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346"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305"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69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59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r>
    </w:tbl>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522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1193"/>
        <w:gridCol w:w="1478"/>
        <w:gridCol w:w="881"/>
        <w:gridCol w:w="864"/>
        <w:gridCol w:w="857"/>
        <w:gridCol w:w="125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21"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货物名称</w:t>
            </w:r>
          </w:p>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rPr>
              <w:t>（按照医疗器械注册证书写）</w:t>
            </w: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w:t>
            </w: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型号、规格</w:t>
            </w: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产地</w:t>
            </w: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c>
          <w:tcPr>
            <w:tcW w:w="459" w:type="pct"/>
            <w:vAlign w:val="center"/>
          </w:tcPr>
          <w:p>
            <w:pPr>
              <w:pStyle w:val="297"/>
              <w:keepNext w:val="0"/>
              <w:adjustRightInd/>
              <w:spacing w:before="0" w:after="0" w:line="560" w:lineRule="exact"/>
              <w:jc w:val="center"/>
              <w:textAlignment w:val="auto"/>
              <w:rPr>
                <w:rFonts w:hint="eastAsia" w:ascii="宋体" w:hAnsi="宋体" w:eastAsia="宋体" w:cs="宋体"/>
                <w:snapToGrid/>
                <w:color w:val="000000" w:themeColor="text1"/>
                <w:spacing w:val="0"/>
                <w:kern w:val="2"/>
                <w:sz w:val="24"/>
                <w:szCs w:val="24"/>
                <w14:textFill>
                  <w14:solidFill>
                    <w14:schemeClr w14:val="tx1"/>
                  </w14:solidFill>
                </w14:textFill>
              </w:rPr>
            </w:pPr>
            <w:r>
              <w:rPr>
                <w:rFonts w:hint="eastAsia" w:ascii="宋体" w:hAnsi="宋体" w:eastAsia="宋体" w:cs="宋体"/>
                <w:snapToGrid/>
                <w:color w:val="000000" w:themeColor="text1"/>
                <w:spacing w:val="0"/>
                <w:kern w:val="2"/>
                <w:sz w:val="24"/>
                <w:szCs w:val="24"/>
                <w14:textFill>
                  <w14:solidFill>
                    <w14:schemeClr w14:val="tx1"/>
                  </w14:solidFill>
                </w14:textFill>
              </w:rPr>
              <w:t>总价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1" w:type="pct"/>
            <w:vAlign w:val="center"/>
          </w:tcPr>
          <w:p>
            <w:pPr>
              <w:spacing w:line="56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5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w:t>
      </w:r>
      <w:r>
        <w:rPr>
          <w:rFonts w:hint="eastAsia" w:ascii="宋体" w:hAnsi="宋体" w:eastAsia="宋体" w:cs="宋体"/>
        </w:rPr>
        <w:t>无关联</w:t>
      </w:r>
      <w:r>
        <w:rPr>
          <w:rFonts w:hint="eastAsia" w:ascii="宋体" w:hAnsi="宋体" w:eastAsia="宋体" w:cs="宋体"/>
          <w:lang w:val="en-US" w:eastAsia="zh-CN"/>
        </w:rPr>
        <w:t>关系</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2"/>
        </w:numPr>
        <w:ind w:left="425" w:leftChars="0" w:hanging="425" w:firstLine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r>
        <w:rPr>
          <w:rFonts w:hint="eastAsia" w:ascii="宋体" w:hAnsi="宋体" w:eastAsia="宋体" w:cs="宋体"/>
          <w:color w:val="auto"/>
          <w:sz w:val="24"/>
          <w:szCs w:val="24"/>
          <w:highlight w:val="none"/>
        </w:rPr>
        <w:t>医疗器械注册</w:t>
      </w:r>
    </w:p>
    <w:p>
      <w:pPr>
        <w:numPr>
          <w:ilvl w:val="0"/>
          <w:numId w:val="1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11.耗材信息</w:t>
      </w:r>
    </w:p>
    <w:tbl>
      <w:tblPr>
        <w:tblStyle w:val="51"/>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48"/>
        <w:gridCol w:w="993"/>
        <w:gridCol w:w="1134"/>
        <w:gridCol w:w="803"/>
        <w:gridCol w:w="962"/>
        <w:gridCol w:w="1025"/>
        <w:gridCol w:w="117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9" w:type="dxa"/>
            <w:vMerge w:val="restart"/>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848"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产品名称</w:t>
            </w:r>
          </w:p>
        </w:tc>
        <w:tc>
          <w:tcPr>
            <w:tcW w:w="99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1134"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80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96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1025"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国家医保耗材代码</w:t>
            </w:r>
          </w:p>
        </w:tc>
        <w:tc>
          <w:tcPr>
            <w:tcW w:w="1179"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98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9" w:type="dxa"/>
            <w:vMerge w:val="continue"/>
            <w:shd w:val="clear" w:color="auto" w:fill="auto"/>
            <w:noWrap/>
            <w:vAlign w:val="center"/>
          </w:tcPr>
          <w:p>
            <w:pPr>
              <w:jc w:val="center"/>
              <w:rPr>
                <w:rFonts w:ascii="宋体" w:hAnsi="宋体" w:cs="宋体"/>
                <w:color w:val="000000"/>
                <w:sz w:val="20"/>
                <w:szCs w:val="20"/>
              </w:rPr>
            </w:pPr>
          </w:p>
        </w:tc>
        <w:tc>
          <w:tcPr>
            <w:tcW w:w="848"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9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34"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80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6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025"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79"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8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both"/>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bookmarkStart w:id="6" w:name="_GoBack"/>
            <w:bookmarkEnd w:id="6"/>
          </w:p>
        </w:tc>
        <w:tc>
          <w:tcPr>
            <w:tcW w:w="98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3</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自行添加</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bl>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p>
    <w:p>
      <w:pPr>
        <w:pStyle w:val="3"/>
        <w:ind w:left="0" w:leftChars="0" w:firstLine="0" w:firstLineChars="0"/>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0">
    <w:nsid w:val="67735D9A"/>
    <w:multiLevelType w:val="singleLevel"/>
    <w:tmpl w:val="67735D9A"/>
    <w:lvl w:ilvl="0" w:tentative="0">
      <w:start w:val="1"/>
      <w:numFmt w:val="decimal"/>
      <w:suff w:val="nothing"/>
      <w:lvlText w:val="%1"/>
      <w:lvlJc w:val="left"/>
      <w:pPr>
        <w:tabs>
          <w:tab w:val="left" w:pos="0"/>
        </w:tabs>
        <w:ind w:left="425" w:hanging="425"/>
      </w:pPr>
      <w:rPr>
        <w:rFonts w:hint="default" w:ascii="宋体" w:hAnsi="宋体" w:eastAsia="宋体" w:cs="宋体"/>
      </w:rPr>
    </w:lvl>
  </w:abstractNum>
  <w:abstractNum w:abstractNumId="11">
    <w:nsid w:val="6FEF5E58"/>
    <w:multiLevelType w:val="singleLevel"/>
    <w:tmpl w:val="6FEF5E58"/>
    <w:lvl w:ilvl="0" w:tentative="0">
      <w:start w:val="1"/>
      <w:numFmt w:val="decimal"/>
      <w:lvlText w:val="%1."/>
      <w:lvlJc w:val="left"/>
      <w:pPr>
        <w:ind w:left="425" w:hanging="425"/>
      </w:pPr>
      <w:rPr>
        <w:rFonts w:hint="default"/>
      </w:rPr>
    </w:lvl>
  </w:abstractNum>
  <w:abstractNum w:abstractNumId="12">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8"/>
  </w:num>
  <w:num w:numId="3">
    <w:abstractNumId w:val="9"/>
  </w:num>
  <w:num w:numId="4">
    <w:abstractNumId w:val="4"/>
  </w:num>
  <w:num w:numId="5">
    <w:abstractNumId w:val="1"/>
  </w:num>
  <w:num w:numId="6">
    <w:abstractNumId w:val="2"/>
  </w:num>
  <w:num w:numId="7">
    <w:abstractNumId w:val="12"/>
  </w:num>
  <w:num w:numId="8">
    <w:abstractNumId w:val="5"/>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43506B"/>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4007BF"/>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1C5D12"/>
    <w:rsid w:val="30222CE0"/>
    <w:rsid w:val="30251039"/>
    <w:rsid w:val="302E1E76"/>
    <w:rsid w:val="30622F45"/>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B163D"/>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42422F"/>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9">
    <w:name w:val="heading 5"/>
    <w:basedOn w:val="1"/>
    <w:next w:val="6"/>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10">
    <w:name w:val="heading 6"/>
    <w:basedOn w:val="1"/>
    <w:next w:val="6"/>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6"/>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2">
    <w:name w:val="heading 8"/>
    <w:basedOn w:val="1"/>
    <w:next w:val="6"/>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3">
    <w:name w:val="heading 9"/>
    <w:basedOn w:val="1"/>
    <w:next w:val="6"/>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Normal Indent"/>
    <w:basedOn w:val="1"/>
    <w:link w:val="64"/>
    <w:qFormat/>
    <w:uiPriority w:val="0"/>
    <w:pPr>
      <w:ind w:firstLine="420"/>
    </w:pPr>
    <w:rPr>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keepNext/>
      <w:spacing w:before="80" w:beforeLines="0" w:after="80" w:afterLines="0"/>
    </w:pPr>
    <w:rPr>
      <w:sz w:val="18"/>
      <w:szCs w:val="18"/>
    </w:rPr>
  </w:style>
  <w:style w:type="paragraph" w:styleId="17">
    <w:name w:val="Document Map"/>
    <w:basedOn w:val="1"/>
    <w:qFormat/>
    <w:uiPriority w:val="0"/>
    <w:pPr>
      <w:widowControl/>
      <w:shd w:val="clear" w:color="auto" w:fill="000080"/>
      <w:jc w:val="left"/>
    </w:pPr>
    <w:rPr>
      <w:kern w:val="0"/>
      <w:szCs w:val="20"/>
    </w:rPr>
  </w:style>
  <w:style w:type="paragraph" w:styleId="1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9">
    <w:name w:val="annotation text"/>
    <w:basedOn w:val="1"/>
    <w:link w:val="72"/>
    <w:qFormat/>
    <w:uiPriority w:val="0"/>
    <w:pPr>
      <w:widowControl/>
      <w:jc w:val="left"/>
    </w:pPr>
    <w:rPr>
      <w:kern w:val="0"/>
      <w:szCs w:val="20"/>
    </w:rPr>
  </w:style>
  <w:style w:type="paragraph" w:styleId="20">
    <w:name w:val="Salutation"/>
    <w:basedOn w:val="1"/>
    <w:next w:val="1"/>
    <w:qFormat/>
    <w:uiPriority w:val="0"/>
  </w:style>
  <w:style w:type="paragraph" w:styleId="21">
    <w:name w:val="Body Text 3"/>
    <w:basedOn w:val="1"/>
    <w:qFormat/>
    <w:uiPriority w:val="0"/>
    <w:pPr>
      <w:spacing w:after="120" w:afterLines="0"/>
    </w:pPr>
    <w:rPr>
      <w:sz w:val="16"/>
      <w:szCs w:val="16"/>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9"/>
    <w:next w:val="19"/>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2"/>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4"/>
    <w:qFormat/>
    <w:uiPriority w:val="0"/>
    <w:rPr>
      <w:rFonts w:eastAsia="宋体"/>
      <w:b/>
      <w:bCs/>
      <w:kern w:val="44"/>
      <w:sz w:val="44"/>
      <w:szCs w:val="44"/>
      <w:lang w:val="en-US" w:eastAsia="zh-CN" w:bidi="ar-SA"/>
    </w:rPr>
  </w:style>
  <w:style w:type="character" w:customStyle="1" w:styleId="63">
    <w:name w:val="标题 2 Char1"/>
    <w:link w:val="5"/>
    <w:qFormat/>
    <w:uiPriority w:val="0"/>
    <w:rPr>
      <w:rFonts w:ascii="Arial" w:hAnsi="Arial" w:eastAsia="黑体"/>
      <w:b/>
      <w:bCs/>
      <w:kern w:val="2"/>
      <w:sz w:val="32"/>
      <w:szCs w:val="32"/>
      <w:lang w:val="en-US" w:eastAsia="zh-CN" w:bidi="ar-SA"/>
    </w:rPr>
  </w:style>
  <w:style w:type="character" w:customStyle="1" w:styleId="64">
    <w:name w:val="正文缩进 Char"/>
    <w:link w:val="6"/>
    <w:qFormat/>
    <w:uiPriority w:val="0"/>
    <w:rPr>
      <w:rFonts w:eastAsia="宋体"/>
      <w:kern w:val="2"/>
      <w:sz w:val="21"/>
      <w:lang w:val="en-US" w:eastAsia="zh-CN" w:bidi="ar-SA"/>
    </w:rPr>
  </w:style>
  <w:style w:type="character" w:customStyle="1" w:styleId="65">
    <w:name w:val="标题 3 Char"/>
    <w:link w:val="7"/>
    <w:qFormat/>
    <w:uiPriority w:val="0"/>
    <w:rPr>
      <w:rFonts w:eastAsia="宋体"/>
      <w:b/>
      <w:bCs/>
      <w:kern w:val="2"/>
      <w:sz w:val="32"/>
      <w:szCs w:val="32"/>
      <w:lang w:val="en-US" w:eastAsia="zh-CN" w:bidi="ar-SA"/>
    </w:rPr>
  </w:style>
  <w:style w:type="character" w:customStyle="1" w:styleId="66">
    <w:name w:val="标题 4 Char"/>
    <w:link w:val="8"/>
    <w:qFormat/>
    <w:uiPriority w:val="0"/>
    <w:rPr>
      <w:rFonts w:ascii="Arial" w:hAnsi="Arial" w:eastAsia="黑体"/>
      <w:b/>
      <w:bCs/>
      <w:kern w:val="2"/>
      <w:sz w:val="28"/>
      <w:szCs w:val="28"/>
      <w:lang w:val="en-US" w:eastAsia="zh-CN" w:bidi="ar-SA"/>
    </w:rPr>
  </w:style>
  <w:style w:type="character" w:customStyle="1" w:styleId="67">
    <w:name w:val="标题 5 Char"/>
    <w:link w:val="9"/>
    <w:qFormat/>
    <w:uiPriority w:val="0"/>
    <w:rPr>
      <w:rFonts w:ascii="宋体" w:eastAsia="宋体"/>
      <w:b/>
      <w:snapToGrid w:val="0"/>
      <w:color w:val="000000"/>
      <w:sz w:val="28"/>
      <w:lang w:val="en-US" w:eastAsia="zh-CN" w:bidi="ar-SA"/>
    </w:rPr>
  </w:style>
  <w:style w:type="character" w:customStyle="1" w:styleId="68">
    <w:name w:val="标题 6 Char"/>
    <w:link w:val="10"/>
    <w:qFormat/>
    <w:uiPriority w:val="0"/>
    <w:rPr>
      <w:rFonts w:ascii="Arial" w:hAnsi="Arial" w:eastAsia="黑体"/>
      <w:b/>
      <w:snapToGrid w:val="0"/>
      <w:color w:val="000000"/>
      <w:sz w:val="24"/>
      <w:lang w:val="en-US" w:eastAsia="zh-CN" w:bidi="ar-SA"/>
    </w:rPr>
  </w:style>
  <w:style w:type="character" w:customStyle="1" w:styleId="69">
    <w:name w:val="标题 7 Char"/>
    <w:link w:val="11"/>
    <w:qFormat/>
    <w:uiPriority w:val="0"/>
    <w:rPr>
      <w:rFonts w:ascii="宋体" w:eastAsia="宋体"/>
      <w:b/>
      <w:snapToGrid w:val="0"/>
      <w:color w:val="000000"/>
      <w:sz w:val="24"/>
      <w:lang w:val="en-US" w:eastAsia="zh-CN" w:bidi="ar-SA"/>
    </w:rPr>
  </w:style>
  <w:style w:type="character" w:customStyle="1" w:styleId="70">
    <w:name w:val="标题 8 Char"/>
    <w:link w:val="12"/>
    <w:qFormat/>
    <w:uiPriority w:val="0"/>
    <w:rPr>
      <w:rFonts w:ascii="Arial" w:hAnsi="Arial" w:eastAsia="黑体"/>
      <w:snapToGrid w:val="0"/>
      <w:color w:val="000000"/>
      <w:sz w:val="24"/>
      <w:lang w:val="en-US" w:eastAsia="zh-CN" w:bidi="ar-SA"/>
    </w:rPr>
  </w:style>
  <w:style w:type="character" w:customStyle="1" w:styleId="71">
    <w:name w:val="标题 9 Char"/>
    <w:link w:val="13"/>
    <w:qFormat/>
    <w:uiPriority w:val="0"/>
    <w:rPr>
      <w:rFonts w:ascii="Arial" w:hAnsi="Arial" w:eastAsia="黑体"/>
      <w:snapToGrid w:val="0"/>
      <w:color w:val="000000"/>
      <w:sz w:val="21"/>
      <w:lang w:val="en-US" w:eastAsia="zh-CN" w:bidi="ar-SA"/>
    </w:rPr>
  </w:style>
  <w:style w:type="character" w:customStyle="1" w:styleId="72">
    <w:name w:val="批注文字 Char"/>
    <w:link w:val="19"/>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6"/>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4"/>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5"/>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2"/>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8"/>
    <w:qFormat/>
    <w:uiPriority w:val="0"/>
    <w:pPr>
      <w:outlineLvl w:val="5"/>
    </w:pPr>
  </w:style>
  <w:style w:type="paragraph" w:customStyle="1" w:styleId="187">
    <w:name w:val="三级条标题"/>
    <w:basedOn w:val="188"/>
    <w:next w:val="8"/>
    <w:qFormat/>
    <w:uiPriority w:val="0"/>
    <w:pPr>
      <w:ind w:left="0"/>
      <w:outlineLvl w:val="4"/>
    </w:pPr>
  </w:style>
  <w:style w:type="paragraph" w:customStyle="1" w:styleId="188">
    <w:name w:val="二级条标题"/>
    <w:basedOn w:val="189"/>
    <w:next w:val="8"/>
    <w:qFormat/>
    <w:uiPriority w:val="0"/>
    <w:pPr>
      <w:ind w:left="540"/>
      <w:outlineLvl w:val="3"/>
    </w:pPr>
  </w:style>
  <w:style w:type="paragraph" w:customStyle="1" w:styleId="189">
    <w:name w:val="一级条标题"/>
    <w:basedOn w:val="190"/>
    <w:next w:val="8"/>
    <w:qFormat/>
    <w:uiPriority w:val="0"/>
    <w:pPr>
      <w:spacing w:before="0" w:beforeLines="0" w:after="0" w:afterLines="0"/>
      <w:ind w:left="0"/>
      <w:outlineLvl w:val="2"/>
    </w:pPr>
  </w:style>
  <w:style w:type="paragraph" w:customStyle="1" w:styleId="190">
    <w:name w:val="章标题"/>
    <w:next w:val="8"/>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9"/>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7"/>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4"/>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7"/>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7"/>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5"/>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7"/>
    <w:qFormat/>
    <w:uiPriority w:val="0"/>
    <w:pPr>
      <w:ind w:left="210" w:leftChars="100" w:right="210" w:rightChars="100"/>
      <w:jc w:val="left"/>
    </w:pPr>
    <w:rPr>
      <w:rFonts w:ascii="宋体" w:hAnsi="宋体"/>
      <w:kern w:val="0"/>
    </w:rPr>
  </w:style>
  <w:style w:type="paragraph" w:customStyle="1" w:styleId="262">
    <w:name w:val="QB表内文字"/>
    <w:basedOn w:val="8"/>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5"/>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5"/>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7"/>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7"/>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5651</Words>
  <Characters>5911</Characters>
  <Lines>320</Lines>
  <Paragraphs>90</Paragraphs>
  <TotalTime>1</TotalTime>
  <ScaleCrop>false</ScaleCrop>
  <LinksUpToDate>false</LinksUpToDate>
  <CharactersWithSpaces>6134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2020-02-02T09:00:00Z</cp:lastPrinted>
  <dcterms:modified xsi:type="dcterms:W3CDTF">2023-05-06T00:58:33Z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60CEB2EC0AF0495AA66C9D67EE817B2B</vt:lpwstr>
  </property>
</Properties>
</file>