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（12）耗材信息平台截图</w:t>
      </w:r>
    </w:p>
    <w:p>
      <w:pPr>
        <w:jc w:val="center"/>
        <w:rPr>
          <w:rFonts w:hint="eastAsia"/>
          <w:color w:val="auto"/>
          <w:sz w:val="44"/>
          <w:szCs w:val="44"/>
          <w:highlight w:val="none"/>
          <w:lang w:val="en-US" w:eastAsia="zh-CN"/>
        </w:rPr>
      </w:pPr>
    </w:p>
    <w:p>
      <w:pPr>
        <w:pStyle w:val="2"/>
        <w:rPr>
          <w:rFonts w:hint="eastAsia"/>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both"/>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r>
        <w:rPr>
          <w:rFonts w:hint="eastAsia"/>
          <w:color w:val="auto"/>
          <w:sz w:val="44"/>
          <w:szCs w:val="44"/>
          <w:highlight w:val="none"/>
          <w:lang w:val="en-US" w:eastAsia="zh-CN"/>
        </w:rPr>
        <w:t>报价单</w:t>
      </w:r>
    </w:p>
    <w:p>
      <w:pPr>
        <w:rPr>
          <w:rFonts w:hint="eastAsia"/>
          <w:color w:val="auto"/>
          <w:highlight w:val="none"/>
          <w:lang w:val="en-US" w:eastAsia="zh-CN"/>
        </w:rPr>
      </w:pPr>
    </w:p>
    <w:p>
      <w:pPr>
        <w:rPr>
          <w:rFonts w:hint="eastAsia"/>
          <w:color w:val="auto"/>
          <w:sz w:val="28"/>
          <w:szCs w:val="28"/>
          <w:highlight w:val="none"/>
          <w:lang w:val="en-US" w:eastAsia="zh-CN"/>
        </w:rPr>
      </w:pPr>
      <w:r>
        <w:rPr>
          <w:rFonts w:hint="eastAsia"/>
          <w:color w:val="auto"/>
          <w:sz w:val="28"/>
          <w:szCs w:val="28"/>
          <w:highlight w:val="none"/>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设备名称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设备型号</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厂家/品牌</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产地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质保期</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数量/单位</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单价（元）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总价（元）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耗材报价（如有）</w:t>
            </w:r>
          </w:p>
        </w:tc>
        <w:tc>
          <w:tcPr>
            <w:tcW w:w="5888" w:type="dxa"/>
          </w:tcPr>
          <w:p>
            <w:pPr>
              <w:rPr>
                <w:rFonts w:hint="default"/>
                <w:color w:val="auto"/>
                <w:sz w:val="28"/>
                <w:szCs w:val="28"/>
                <w:highlight w:val="none"/>
                <w:vertAlign w:val="baseline"/>
                <w:lang w:val="en-US" w:eastAsia="zh-CN"/>
              </w:rPr>
            </w:pPr>
          </w:p>
        </w:tc>
      </w:tr>
    </w:tbl>
    <w:p>
      <w:pPr>
        <w:rPr>
          <w:rFonts w:hint="default"/>
          <w:color w:val="auto"/>
          <w:highlight w:val="none"/>
          <w:lang w:val="en-US" w:eastAsia="zh-CN"/>
        </w:rPr>
      </w:pPr>
    </w:p>
    <w:p>
      <w:pPr>
        <w:jc w:val="center"/>
        <w:rPr>
          <w:rFonts w:hint="eastAsia"/>
          <w:color w:val="auto"/>
          <w:sz w:val="28"/>
          <w:szCs w:val="28"/>
          <w:highlight w:val="none"/>
          <w:lang w:val="en-US" w:eastAsia="zh-CN"/>
        </w:rPr>
      </w:pPr>
      <w:r>
        <w:rPr>
          <w:rFonts w:hint="eastAsia"/>
          <w:color w:val="auto"/>
          <w:sz w:val="28"/>
          <w:szCs w:val="28"/>
          <w:highlight w:val="none"/>
          <w:lang w:val="en-US" w:eastAsia="zh-CN"/>
        </w:rPr>
        <w:t xml:space="preserve">  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jc w:val="center"/>
        <w:rPr>
          <w:rFonts w:hint="eastAsia"/>
          <w:b/>
          <w:bCs/>
          <w:color w:val="auto"/>
          <w:sz w:val="30"/>
          <w:szCs w:val="30"/>
          <w:highlight w:val="none"/>
          <w:lang w:val="en-US" w:eastAsia="zh-CN"/>
        </w:rPr>
      </w:pPr>
      <w:r>
        <w:rPr>
          <w:rFonts w:hint="eastAsia"/>
          <w:b/>
          <w:bCs/>
          <w:color w:val="auto"/>
          <w:sz w:val="30"/>
          <w:szCs w:val="30"/>
          <w:highlight w:val="none"/>
          <w:lang w:val="en-US" w:eastAsia="zh-CN"/>
        </w:rPr>
        <w:t>广东省药品电子交易平台耗材信息表（如有）</w:t>
      </w:r>
    </w:p>
    <w:p>
      <w:pPr>
        <w:jc w:val="both"/>
        <w:rPr>
          <w:rFonts w:hint="eastAsia"/>
          <w:color w:val="auto"/>
          <w:sz w:val="28"/>
          <w:szCs w:val="28"/>
          <w:highlight w:val="none"/>
          <w:lang w:val="en-US" w:eastAsia="zh-CN"/>
        </w:rPr>
      </w:pPr>
      <w:r>
        <w:rPr>
          <w:rFonts w:hint="eastAsia"/>
          <w:color w:val="auto"/>
          <w:sz w:val="28"/>
          <w:szCs w:val="28"/>
          <w:highlight w:val="none"/>
          <w:lang w:val="en-US" w:eastAsia="zh-CN"/>
        </w:rPr>
        <w:t>请按广东省药品电子交易平台填写以下信息：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2808" w:type="dxa"/>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产品名称</w:t>
            </w:r>
          </w:p>
        </w:tc>
        <w:tc>
          <w:tcPr>
            <w:tcW w:w="4731" w:type="dxa"/>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规格型号</w:t>
            </w:r>
          </w:p>
        </w:tc>
        <w:tc>
          <w:tcPr>
            <w:tcW w:w="4731" w:type="dxa"/>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注册证号</w:t>
            </w:r>
          </w:p>
        </w:tc>
        <w:tc>
          <w:tcPr>
            <w:tcW w:w="4731" w:type="dxa"/>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药交ID</w:t>
            </w:r>
          </w:p>
        </w:tc>
        <w:tc>
          <w:tcPr>
            <w:tcW w:w="4731" w:type="dxa"/>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产品编码</w:t>
            </w:r>
          </w:p>
        </w:tc>
        <w:tc>
          <w:tcPr>
            <w:tcW w:w="4731" w:type="dxa"/>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vAlign w:val="top"/>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是否专机专用</w:t>
            </w:r>
          </w:p>
        </w:tc>
        <w:tc>
          <w:tcPr>
            <w:tcW w:w="4731" w:type="dxa"/>
            <w:vAlign w:val="top"/>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国家医保耗材代码</w:t>
            </w:r>
          </w:p>
        </w:tc>
        <w:tc>
          <w:tcPr>
            <w:tcW w:w="4731" w:type="dxa"/>
            <w:vAlign w:val="top"/>
          </w:tcPr>
          <w:p>
            <w:pPr>
              <w:jc w:val="both"/>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eastAsia"/>
                <w:color w:val="auto"/>
                <w:sz w:val="28"/>
                <w:szCs w:val="28"/>
                <w:highlight w:val="none"/>
                <w:vertAlign w:val="baseline"/>
                <w:lang w:val="en-US" w:eastAsia="zh-CN"/>
              </w:rPr>
            </w:pPr>
            <w:r>
              <w:rPr>
                <w:rFonts w:hint="eastAsia"/>
                <w:color w:val="auto"/>
                <w:sz w:val="28"/>
                <w:szCs w:val="28"/>
                <w:highlight w:val="none"/>
                <w:vertAlign w:val="baseline"/>
                <w:lang w:val="en-US" w:eastAsia="zh-CN"/>
              </w:rPr>
              <w:t>省平台联盟区限价</w:t>
            </w:r>
          </w:p>
        </w:tc>
        <w:tc>
          <w:tcPr>
            <w:tcW w:w="4731" w:type="dxa"/>
            <w:vAlign w:val="top"/>
          </w:tcPr>
          <w:p>
            <w:pPr>
              <w:jc w:val="both"/>
              <w:rPr>
                <w:rFonts w:hint="eastAsia"/>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eastAsia"/>
                <w:color w:val="auto"/>
                <w:sz w:val="28"/>
                <w:szCs w:val="28"/>
                <w:highlight w:val="none"/>
                <w:vertAlign w:val="baseline"/>
                <w:lang w:val="en-US" w:eastAsia="zh-CN"/>
              </w:rPr>
            </w:pPr>
            <w:r>
              <w:rPr>
                <w:rFonts w:hint="eastAsia"/>
                <w:color w:val="auto"/>
                <w:sz w:val="28"/>
                <w:szCs w:val="28"/>
                <w:highlight w:val="none"/>
                <w:vertAlign w:val="baseline"/>
                <w:lang w:val="en-US" w:eastAsia="zh-CN"/>
              </w:rPr>
              <w:t>报价（元）</w:t>
            </w:r>
          </w:p>
        </w:tc>
        <w:tc>
          <w:tcPr>
            <w:tcW w:w="4731" w:type="dxa"/>
            <w:vAlign w:val="top"/>
          </w:tcPr>
          <w:p>
            <w:pPr>
              <w:jc w:val="both"/>
              <w:rPr>
                <w:rFonts w:hint="eastAsia"/>
                <w:color w:val="auto"/>
                <w:sz w:val="28"/>
                <w:szCs w:val="28"/>
                <w:highlight w:val="none"/>
                <w:vertAlign w:val="baseline"/>
                <w:lang w:val="en-US" w:eastAsia="zh-CN"/>
              </w:rPr>
            </w:pPr>
            <w:r>
              <w:rPr>
                <w:rFonts w:hint="eastAsia"/>
                <w:color w:val="auto"/>
                <w:sz w:val="28"/>
                <w:szCs w:val="28"/>
                <w:highlight w:val="none"/>
                <w:vertAlign w:val="baseline"/>
                <w:lang w:val="en-US" w:eastAsia="zh-CN"/>
              </w:rPr>
              <w:t>报价不可高于省平台联盟区限价</w:t>
            </w:r>
          </w:p>
        </w:tc>
      </w:tr>
    </w:tbl>
    <w:p>
      <w:pPr>
        <w:jc w:val="center"/>
        <w:rPr>
          <w:rFonts w:hint="eastAsia"/>
          <w:color w:val="auto"/>
          <w:sz w:val="28"/>
          <w:szCs w:val="28"/>
          <w:highlight w:val="none"/>
          <w:lang w:val="en-US" w:eastAsia="zh-CN"/>
        </w:rPr>
      </w:pPr>
      <w:r>
        <w:rPr>
          <w:rFonts w:hint="eastAsia"/>
          <w:color w:val="auto"/>
          <w:sz w:val="28"/>
          <w:szCs w:val="28"/>
          <w:highlight w:val="none"/>
          <w:lang w:val="en-US" w:eastAsia="zh-CN"/>
        </w:rPr>
        <w:t>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参数偏离情况报</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填写要求：</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的参数是必须完全响应的参数。</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vAlign w:val="top"/>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eastAsia="zh-CN"/>
              </w:rPr>
              <w:t>检测方法及原理：悬垂丝法、电磁切割法、粘度法、电磁法</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 xml:space="preserve">。 </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检测项目：普通杯检测；肝素酶杯检测；血小板聚集功能检测。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样本要求：枸橼酸钠抗凝全血、肝素抗凝全血，每次检测全血用量 0.1-0.4ML。</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vAlign w:val="top"/>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eastAsia="zh-CN"/>
              </w:rPr>
              <w:t>检测时间：</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-30分钟 。</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检测速度：</w:t>
            </w:r>
            <w:r>
              <w:rPr>
                <w:rFonts w:hint="eastAsia" w:ascii="宋体" w:hAnsi="宋体" w:eastAsia="宋体" w:cs="宋体"/>
                <w:color w:val="auto"/>
                <w:sz w:val="21"/>
                <w:szCs w:val="21"/>
                <w:highlight w:val="none"/>
                <w:lang w:eastAsia="zh-CN"/>
              </w:rPr>
              <w:t>25-35测试/小时。</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输出参数：20 个以上的国际标准参数，包括α角度，R 值，K 值，SP，MA 值，Angle，TMA，G，E，TPI，EPL，A，CI，PMA，LTE，LY30，A30，A60，CL30，CL60，LY60，CLT，aPTT，INR 等。</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温度控制：每个通道均有独立温度控制系统，可根据需要调节。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检测通道：≧4个</w:t>
            </w:r>
            <w:r>
              <w:rPr>
                <w:rFonts w:hint="eastAsia" w:ascii="宋体" w:hAnsi="宋体" w:eastAsia="宋体" w:cs="宋体"/>
                <w:color w:val="auto"/>
                <w:sz w:val="21"/>
                <w:szCs w:val="21"/>
                <w:highlight w:val="none"/>
                <w:lang w:val="en-US" w:eastAsia="zh-CN"/>
              </w:rPr>
              <w:t>独立运行通道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自动化检测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lang w:eastAsia="zh-CN"/>
              </w:rPr>
              <w:t>自动装卸（上下）检测杯、自动加样加试剂</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软件功能：专用配套</w:t>
            </w:r>
            <w:r>
              <w:rPr>
                <w:rFonts w:hint="eastAsia" w:ascii="宋体" w:hAnsi="宋体" w:eastAsia="宋体" w:cs="宋体"/>
                <w:color w:val="auto"/>
                <w:sz w:val="21"/>
                <w:szCs w:val="21"/>
                <w:highlight w:val="none"/>
              </w:rPr>
              <w:t>正版软件与操作系统</w:t>
            </w:r>
            <w:r>
              <w:rPr>
                <w:rFonts w:hint="eastAsia" w:ascii="宋体" w:hAnsi="宋体" w:eastAsia="宋体" w:cs="宋体"/>
                <w:color w:val="auto"/>
                <w:sz w:val="21"/>
                <w:szCs w:val="21"/>
                <w:highlight w:val="none"/>
                <w:lang w:eastAsia="zh-CN"/>
              </w:rPr>
              <w:t>，中文报告及数据处理系统，自动记录检测结果，系统可与医院L</w:t>
            </w:r>
            <w:r>
              <w:rPr>
                <w:rFonts w:hint="eastAsia" w:ascii="宋体" w:hAnsi="宋体" w:eastAsia="宋体" w:cs="宋体"/>
                <w:color w:val="auto"/>
                <w:sz w:val="21"/>
                <w:szCs w:val="21"/>
                <w:highlight w:val="none"/>
                <w:lang w:val="en-US" w:eastAsia="zh-CN"/>
              </w:rPr>
              <w:t>IS</w:t>
            </w:r>
            <w:r>
              <w:rPr>
                <w:rFonts w:hint="eastAsia" w:ascii="宋体" w:hAnsi="宋体" w:eastAsia="宋体" w:cs="宋体"/>
                <w:color w:val="auto"/>
                <w:sz w:val="21"/>
                <w:szCs w:val="21"/>
                <w:highlight w:val="none"/>
                <w:lang w:eastAsia="zh-CN"/>
              </w:rPr>
              <w:t>系统对接，具有数据导出功能，报告单编辑和打印功能，方便</w:t>
            </w:r>
            <w:r>
              <w:rPr>
                <w:rFonts w:hint="eastAsia" w:ascii="宋体" w:hAnsi="宋体" w:eastAsia="宋体" w:cs="宋体"/>
                <w:color w:val="auto"/>
                <w:sz w:val="21"/>
                <w:szCs w:val="21"/>
                <w:highlight w:val="none"/>
                <w:lang w:val="en-US" w:eastAsia="zh-CN"/>
              </w:rPr>
              <w:t>操作者</w:t>
            </w:r>
            <w:r>
              <w:rPr>
                <w:rFonts w:hint="eastAsia" w:ascii="宋体" w:hAnsi="宋体" w:eastAsia="宋体" w:cs="宋体"/>
                <w:color w:val="auto"/>
                <w:sz w:val="21"/>
                <w:szCs w:val="21"/>
                <w:highlight w:val="none"/>
                <w:lang w:eastAsia="zh-CN"/>
              </w:rPr>
              <w:t>提取和查询，显示初步诊断结果，</w:t>
            </w:r>
            <w:r>
              <w:rPr>
                <w:rFonts w:hint="eastAsia"/>
                <w:highlight w:val="none"/>
                <w:lang w:eastAsia="zh-CN"/>
              </w:rPr>
              <w:t>软件终身</w:t>
            </w:r>
            <w:r>
              <w:rPr>
                <w:rFonts w:hint="eastAsia"/>
                <w:highlight w:val="none"/>
                <w:lang w:val="en-US" w:eastAsia="zh-CN"/>
              </w:rPr>
              <w:t>维护</w:t>
            </w:r>
            <w:r>
              <w:rPr>
                <w:rFonts w:hint="eastAsia"/>
                <w:highlight w:val="none"/>
                <w:lang w:eastAsia="zh-CN"/>
              </w:rPr>
              <w:t>升级，</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1"/>
                <w:szCs w:val="21"/>
                <w:highlight w:val="none"/>
                <w:lang w:val="en-US" w:eastAsia="zh-CN"/>
              </w:rPr>
              <w:t>具有</w:t>
            </w:r>
            <w:r>
              <w:rPr>
                <w:rFonts w:hint="eastAsia" w:ascii="宋体" w:hAnsi="宋体" w:eastAsia="宋体" w:cs="宋体"/>
                <w:color w:val="auto"/>
                <w:sz w:val="21"/>
                <w:szCs w:val="21"/>
                <w:highlight w:val="none"/>
              </w:rPr>
              <w:t>配套有证的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不同浓度</w:t>
            </w:r>
            <w:r>
              <w:rPr>
                <w:rFonts w:hint="eastAsia" w:ascii="宋体" w:hAnsi="宋体" w:eastAsia="宋体" w:cs="宋体"/>
                <w:color w:val="auto"/>
                <w:sz w:val="21"/>
                <w:szCs w:val="21"/>
                <w:highlight w:val="none"/>
              </w:rPr>
              <w:t>质控物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可覆盖全部报告项目进行质控，满足三级医院等级评审和ISO15189医学实验室认可对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szCs w:val="21"/>
                <w:highlight w:val="none"/>
              </w:rPr>
              <w:t>每年</w:t>
            </w:r>
            <w:r>
              <w:rPr>
                <w:rFonts w:hint="eastAsia"/>
                <w:color w:val="auto"/>
                <w:szCs w:val="21"/>
                <w:highlight w:val="none"/>
              </w:rPr>
              <w:t>按</w:t>
            </w:r>
            <w:r>
              <w:rPr>
                <w:rFonts w:hint="eastAsia"/>
                <w:color w:val="auto"/>
                <w:szCs w:val="21"/>
                <w:highlight w:val="none"/>
                <w:lang w:val="en-US" w:eastAsia="zh-CN"/>
              </w:rPr>
              <w:t>实验室管理要求</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w:t>
            </w:r>
            <w:r>
              <w:rPr>
                <w:rFonts w:hint="eastAsia" w:ascii="宋体" w:hAnsi="宋体" w:eastAsia="宋体" w:cs="宋体"/>
                <w:color w:val="auto"/>
                <w:sz w:val="21"/>
                <w:szCs w:val="21"/>
                <w:highlight w:val="none"/>
              </w:rPr>
              <w:t>仪进行校准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若因仪器性能不佳导致无法满足实验室质量要求时，应适当增加校准次数，保证仪器的正常使用</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性能验证：</w:t>
            </w:r>
            <w:r>
              <w:rPr>
                <w:rFonts w:hint="eastAsia" w:ascii="宋体" w:hAnsi="宋体" w:eastAsia="宋体" w:cs="宋体"/>
                <w:color w:val="auto"/>
                <w:szCs w:val="21"/>
                <w:highlight w:val="none"/>
              </w:rPr>
              <w:t>按实验室管理要求完成仪器启用前的性能验证</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血栓弹力图仪</w:t>
            </w:r>
            <w:r>
              <w:rPr>
                <w:rFonts w:hint="eastAsia" w:ascii="宋体" w:hAnsi="宋体" w:eastAsia="宋体" w:cs="宋体"/>
                <w:color w:val="auto"/>
                <w:szCs w:val="21"/>
                <w:highlight w:val="none"/>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《中山市非营利性医疗机构医疗服务价格》（物价编码：250203080）最新版本中收费标准的45%。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color w:val="auto"/>
                <w:highlight w:val="none"/>
              </w:rPr>
              <w:t>★</w:t>
            </w:r>
            <w:r>
              <w:rPr>
                <w:rFonts w:hint="eastAsia"/>
                <w:color w:val="auto"/>
                <w:highlight w:val="none"/>
                <w:lang w:val="en-US" w:eastAsia="zh-CN"/>
              </w:rPr>
              <w:t>要求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w:t>
            </w:r>
            <w:r>
              <w:rPr>
                <w:rFonts w:hint="eastAsia"/>
                <w:color w:val="auto"/>
                <w:sz w:val="21"/>
                <w:highlight w:val="none"/>
                <w:lang w:val="en-US" w:eastAsia="zh-CN"/>
              </w:rPr>
              <w:t>并</w:t>
            </w:r>
            <w:r>
              <w:rPr>
                <w:color w:val="auto"/>
                <w:sz w:val="21"/>
                <w:highlight w:val="none"/>
              </w:rPr>
              <w:t>自行计算每人次整体成本</w:t>
            </w:r>
            <w:r>
              <w:rPr>
                <w:rFonts w:hint="eastAsia"/>
                <w:color w:val="auto"/>
                <w:sz w:val="21"/>
                <w:highlight w:val="none"/>
                <w:lang w:eastAsia="zh-CN"/>
              </w:rPr>
              <w:t>（</w:t>
            </w:r>
            <w:r>
              <w:rPr>
                <w:rFonts w:hint="eastAsia"/>
                <w:color w:val="auto"/>
                <w:sz w:val="21"/>
                <w:highlight w:val="none"/>
                <w:lang w:val="en-US" w:eastAsia="zh-CN"/>
              </w:rPr>
              <w:t>含试剂和消耗性耗材）</w:t>
            </w:r>
            <w:r>
              <w:rPr>
                <w:color w:val="auto"/>
                <w:sz w:val="21"/>
                <w:highlight w:val="none"/>
              </w:rPr>
              <w:t>，对报价真实性</w:t>
            </w:r>
            <w:r>
              <w:rPr>
                <w:rFonts w:hint="eastAsia"/>
                <w:color w:val="auto"/>
                <w:sz w:val="21"/>
                <w:highlight w:val="none"/>
                <w:lang w:val="en-US" w:eastAsia="zh-CN"/>
              </w:rPr>
              <w:t>和所提供试剂耗材清单完整性</w:t>
            </w:r>
            <w:r>
              <w:rPr>
                <w:color w:val="auto"/>
                <w:sz w:val="21"/>
                <w:highlight w:val="none"/>
              </w:rPr>
              <w:t>负责</w:t>
            </w:r>
            <w:r>
              <w:rPr>
                <w:rFonts w:hint="eastAsia"/>
                <w:color w:val="auto"/>
                <w:sz w:val="21"/>
                <w:highlight w:val="none"/>
                <w:lang w:eastAsia="zh-CN"/>
              </w:rPr>
              <w:t>，</w:t>
            </w:r>
            <w:r>
              <w:rPr>
                <w:rFonts w:hint="default" w:ascii="Times New Roman" w:hAnsi="Times New Roman" w:cs="Times New Roman"/>
                <w:color w:val="auto"/>
                <w:szCs w:val="21"/>
                <w:highlight w:val="none"/>
              </w:rPr>
              <w:t>不同规格的试剂盒单人份报价必须一致</w:t>
            </w:r>
            <w:r>
              <w:rPr>
                <w:rFonts w:hint="eastAsia" w:ascii="Times New Roman" w:hAnsi="Times New Roman" w:cs="Times New Roman"/>
                <w:color w:val="auto"/>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color w:val="auto"/>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vAlign w:val="top"/>
          </w:tcPr>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仪器配置样品条形识别装置，</w:t>
            </w:r>
            <w:r>
              <w:rPr>
                <w:rFonts w:hint="eastAsia" w:ascii="宋体" w:hAnsi="宋体" w:eastAsia="宋体" w:cs="宋体"/>
                <w:color w:val="auto"/>
                <w:sz w:val="21"/>
                <w:szCs w:val="21"/>
                <w:highlight w:val="none"/>
                <w:lang w:val="en-US" w:eastAsia="zh-CN"/>
              </w:rPr>
              <w:t>配置匹配该血栓弹力图仪使用的数据管理软件系统为独立的中间体软件，接口软件</w:t>
            </w:r>
            <w:r>
              <w:rPr>
                <w:rFonts w:hint="eastAsia" w:ascii="宋体" w:hAnsi="宋体" w:eastAsia="宋体" w:cs="宋体"/>
                <w:b w:val="0"/>
                <w:bCs w:val="0"/>
                <w:color w:val="auto"/>
                <w:kern w:val="2"/>
                <w:sz w:val="21"/>
                <w:szCs w:val="21"/>
                <w:highlight w:val="none"/>
                <w:lang w:val="en-US" w:eastAsia="zh-CN" w:bidi="ar-SA"/>
              </w:rPr>
              <w:t>可与实验室信息管理系统LIS 系统实现双向通信，</w:t>
            </w:r>
            <w:r>
              <w:rPr>
                <w:rFonts w:hint="eastAsia" w:ascii="宋体" w:hAnsi="宋体" w:eastAsia="宋体" w:cs="宋体"/>
                <w:color w:val="auto"/>
                <w:kern w:val="2"/>
                <w:sz w:val="21"/>
                <w:szCs w:val="21"/>
                <w:highlight w:val="none"/>
                <w:lang w:val="en-US" w:eastAsia="zh-CN" w:bidi="ar-SA"/>
              </w:rPr>
              <w:t>提供工作站，按实验室要求与医院现有LIS 系统连接，</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widowControl/>
              <w:tabs>
                <w:tab w:val="left" w:pos="993"/>
              </w:tabs>
              <w:spacing w:line="440" w:lineRule="exact"/>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★（2）电源：提供不间断适配电源 ，AC 220V（波动≤10%），</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widowControl/>
              <w:numPr>
                <w:ilvl w:val="0"/>
                <w:numId w:val="0"/>
              </w:numPr>
              <w:tabs>
                <w:tab w:val="left" w:pos="993"/>
              </w:tabs>
              <w:autoSpaceDE/>
              <w:autoSpaceDN/>
              <w:adjustRightInd/>
              <w:spacing w:line="440" w:lineRule="exact"/>
              <w:ind w:left="0" w:leftChars="0" w:firstLine="42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（3）其它参数至少满足仪器操作说明书要求。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4900" w:type="dxa"/>
          </w:tcPr>
          <w:p>
            <w:pPr>
              <w:numPr>
                <w:ilvl w:val="0"/>
                <w:numId w:val="0"/>
              </w:numPr>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配置要求：</w:t>
            </w:r>
          </w:p>
          <w:tbl>
            <w:tblPr>
              <w:tblStyle w:val="12"/>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48"/>
              <w:gridCol w:w="214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48"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43"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601" w:type="dxa"/>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1348" w:type="dxa"/>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全自动</w:t>
                  </w:r>
                  <w:r>
                    <w:rPr>
                      <w:rFonts w:hint="eastAsia" w:ascii="宋体" w:hAnsi="宋体" w:eastAsia="宋体" w:cs="宋体"/>
                      <w:color w:val="auto"/>
                      <w:szCs w:val="21"/>
                      <w:highlight w:val="none"/>
                      <w:lang w:eastAsia="zh-CN"/>
                    </w:rPr>
                    <w:t>血栓弹力图仪</w:t>
                  </w:r>
                </w:p>
              </w:tc>
              <w:tc>
                <w:tcPr>
                  <w:tcW w:w="2143"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参数如上</w:t>
                  </w:r>
                </w:p>
              </w:tc>
              <w:tc>
                <w:tcPr>
                  <w:tcW w:w="601"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软件系统</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参数如上</w:t>
                  </w:r>
                </w:p>
              </w:tc>
              <w:tc>
                <w:tcPr>
                  <w:tcW w:w="601" w:type="dxa"/>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1348"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工作站</w:t>
                  </w:r>
                </w:p>
              </w:tc>
              <w:tc>
                <w:tcPr>
                  <w:tcW w:w="2143"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提供与该仪器匹配使用的工作站（含显示器、鼠标、键盘等）：CPU：≥i5-10500；内存：≥8G；硬盘≥1T；Windows 10操作系统，显卡：2G独显</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1348" w:type="dxa"/>
                  <w:vAlign w:val="center"/>
                </w:tcPr>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不间断适配电源</w:t>
                  </w:r>
                </w:p>
              </w:tc>
              <w:tc>
                <w:tcPr>
                  <w:tcW w:w="2143" w:type="dxa"/>
                  <w:vAlign w:val="center"/>
                </w:tcPr>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满足</w:t>
                  </w:r>
                  <w:r>
                    <w:rPr>
                      <w:rFonts w:hint="eastAsia" w:ascii="宋体" w:hAnsi="宋体" w:eastAsia="宋体" w:cs="宋体"/>
                      <w:b w:val="0"/>
                      <w:bCs w:val="0"/>
                      <w:color w:val="auto"/>
                      <w:kern w:val="0"/>
                      <w:sz w:val="21"/>
                      <w:szCs w:val="21"/>
                      <w:highlight w:val="none"/>
                      <w:lang w:eastAsia="zh-CN"/>
                    </w:rPr>
                    <w:t>仪器安装</w:t>
                  </w:r>
                  <w:r>
                    <w:rPr>
                      <w:rFonts w:hint="eastAsia" w:ascii="宋体" w:hAnsi="宋体" w:eastAsia="宋体" w:cs="宋体"/>
                      <w:b w:val="0"/>
                      <w:bCs w:val="0"/>
                      <w:color w:val="auto"/>
                      <w:kern w:val="0"/>
                      <w:sz w:val="21"/>
                      <w:szCs w:val="21"/>
                      <w:highlight w:val="none"/>
                      <w:lang w:val="en-US" w:eastAsia="zh-CN"/>
                    </w:rPr>
                    <w:t>使用</w:t>
                  </w:r>
                  <w:r>
                    <w:rPr>
                      <w:rFonts w:hint="eastAsia" w:ascii="宋体" w:hAnsi="宋体" w:eastAsia="宋体" w:cs="宋体"/>
                      <w:b w:val="0"/>
                      <w:bCs w:val="0"/>
                      <w:color w:val="auto"/>
                      <w:kern w:val="0"/>
                      <w:sz w:val="21"/>
                      <w:szCs w:val="21"/>
                      <w:highlight w:val="none"/>
                      <w:lang w:eastAsia="zh-CN"/>
                    </w:rPr>
                    <w:t>需求</w:t>
                  </w:r>
                </w:p>
              </w:tc>
              <w:tc>
                <w:tcPr>
                  <w:tcW w:w="601" w:type="dxa"/>
                  <w:vAlign w:val="center"/>
                </w:tcPr>
                <w:p>
                  <w:pPr>
                    <w:spacing w:line="44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文件</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提供纸质版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电子版仪器标</w:t>
                  </w:r>
                  <w:r>
                    <w:rPr>
                      <w:rFonts w:hint="eastAsia" w:ascii="宋体" w:hAnsi="宋体" w:eastAsia="宋体" w:cs="宋体"/>
                      <w:color w:val="auto"/>
                      <w:sz w:val="21"/>
                      <w:szCs w:val="21"/>
                      <w:highlight w:val="none"/>
                      <w:lang w:eastAsia="zh-CN"/>
                    </w:rPr>
                    <w:t>准</w:t>
                  </w:r>
                  <w:r>
                    <w:rPr>
                      <w:rFonts w:hint="eastAsia" w:ascii="宋体" w:hAnsi="宋体" w:eastAsia="宋体" w:cs="宋体"/>
                      <w:color w:val="auto"/>
                      <w:sz w:val="21"/>
                      <w:szCs w:val="21"/>
                      <w:highlight w:val="none"/>
                    </w:rPr>
                    <w:t>操作程序文件（SOP）</w:t>
                  </w:r>
                  <w:r>
                    <w:rPr>
                      <w:rFonts w:hint="eastAsia" w:ascii="宋体" w:hAnsi="宋体" w:eastAsia="宋体" w:cs="宋体"/>
                      <w:color w:val="auto"/>
                      <w:sz w:val="21"/>
                      <w:szCs w:val="21"/>
                      <w:highlight w:val="none"/>
                      <w:lang w:eastAsia="zh-CN"/>
                    </w:rPr>
                    <w:t>、操作卡等</w:t>
                  </w:r>
                </w:p>
              </w:tc>
              <w:tc>
                <w:tcPr>
                  <w:tcW w:w="60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1" w:type="dxa"/>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适配电源线</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符合仪器安装需求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若干</w:t>
                  </w:r>
                  <w:r>
                    <w:rPr>
                      <w:rFonts w:hint="eastAsia" w:ascii="宋体" w:hAnsi="宋体" w:eastAsia="宋体" w:cs="宋体"/>
                      <w:b w:val="0"/>
                      <w:bCs w:val="0"/>
                      <w:color w:val="auto"/>
                      <w:kern w:val="0"/>
                      <w:sz w:val="21"/>
                      <w:szCs w:val="21"/>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使用说明书</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符合仪器使用需求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1册</w:t>
                  </w:r>
                </w:p>
              </w:tc>
            </w:tr>
          </w:tbl>
          <w:p>
            <w:pPr>
              <w:pStyle w:val="11"/>
              <w:rPr>
                <w:rFonts w:hint="eastAsia" w:ascii="宋体" w:hAnsi="宋体" w:eastAsia="宋体" w:cs="宋体"/>
                <w:highlight w:val="none"/>
                <w:lang w:val="en-US" w:eastAsia="zh-CN"/>
              </w:rPr>
            </w:pP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商务参数项目</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完全响应或正/负偏离</w:t>
            </w: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交货地点：采购人指定地点。</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bookmarkStart w:id="0" w:name="_GoBack"/>
            <w:bookmarkEnd w:id="0"/>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发出之日起30日内按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确定的事项与采购人签订合同，签订合同后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须保证</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产品交付时成交供应商应提供产品真实有效的生产日期，且生产日期距交付时间的时间差不超过</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lang w:val="en-US" w:eastAsia="zh-CN"/>
              </w:rPr>
              <w:t>提供《承诺函》（格式自拟）</w:t>
            </w:r>
            <w:r>
              <w:rPr>
                <w:rFonts w:hint="eastAsia" w:ascii="宋体" w:hAnsi="宋体" w:eastAsia="宋体" w:cs="宋体"/>
                <w:color w:val="auto"/>
                <w:sz w:val="21"/>
                <w:szCs w:val="21"/>
                <w:highlight w:val="none"/>
              </w:rPr>
              <w:t>，该承诺函包括但不限于以下内容:</w:t>
            </w:r>
          </w:p>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后须在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公告发布之日起五个工作日内提供设备制造厂商开具并盖章的合法有效的授权函原件（盖鲜章）、售后服务承诺函原件（盖鲜章）。</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产品交付时，成交供应商须</w:t>
            </w:r>
            <w:r>
              <w:rPr>
                <w:rFonts w:hint="eastAsia" w:ascii="宋体" w:hAnsi="宋体" w:eastAsia="宋体" w:cs="宋体"/>
                <w:color w:val="auto"/>
                <w:sz w:val="21"/>
                <w:szCs w:val="21"/>
                <w:highlight w:val="none"/>
              </w:rPr>
              <w:t>完成仪器</w:t>
            </w:r>
            <w:r>
              <w:rPr>
                <w:rFonts w:hint="eastAsia" w:ascii="宋体" w:hAnsi="宋体" w:eastAsia="宋体" w:cs="宋体"/>
                <w:color w:val="auto"/>
                <w:sz w:val="21"/>
                <w:szCs w:val="21"/>
                <w:highlight w:val="none"/>
                <w:lang w:val="en-US" w:eastAsia="zh-CN"/>
              </w:rPr>
              <w:t>装机调试和仪器</w:t>
            </w:r>
            <w:r>
              <w:rPr>
                <w:rFonts w:hint="eastAsia" w:ascii="宋体" w:hAnsi="宋体" w:eastAsia="宋体" w:cs="宋体"/>
                <w:color w:val="auto"/>
                <w:sz w:val="21"/>
                <w:szCs w:val="21"/>
                <w:highlight w:val="none"/>
              </w:rPr>
              <w:t>启用前的性能验证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仪器性能符合</w:t>
            </w:r>
            <w:r>
              <w:rPr>
                <w:rFonts w:hint="eastAsia" w:ascii="宋体" w:hAnsi="宋体" w:eastAsia="宋体" w:cs="宋体"/>
                <w:color w:val="auto"/>
                <w:sz w:val="21"/>
                <w:szCs w:val="21"/>
                <w:highlight w:val="none"/>
              </w:rPr>
              <w:t>相关行业标准和实验室管理要求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并出具仪器安装报告</w:t>
            </w:r>
            <w:r>
              <w:rPr>
                <w:rFonts w:hint="eastAsia" w:ascii="宋体" w:hAnsi="宋体" w:eastAsia="宋体" w:cs="宋体"/>
                <w:color w:val="auto"/>
                <w:sz w:val="21"/>
                <w:szCs w:val="21"/>
                <w:highlight w:val="none"/>
              </w:rPr>
              <w:t>。</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必须在中国境内有售后服务机构，并附有售后服务能力说明。</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须提供设备原厂质保（设备原厂质量保修范围和保修期）至少为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在售后期内，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在接到用户的维修通知，响应时间为半小时内，工程师到达现场时间为4小时内，排除故障时限为到达现场后8小时内。</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如果产品故障在检修12小时后仍无法排除，</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应在24小时内提供不低于故障产品规格型号档次的备用产品供采购人使用，直至故障产品修复。</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★本合同的每笔款项以人民币转账方式支付，合同设备到采购人指定地点交付并完成安装，验收合格后，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单位凭：</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（2）验收调试合格报告（加盖采购人公章）；</w:t>
            </w:r>
          </w:p>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bl>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both"/>
        <w:rPr>
          <w:rFonts w:hint="eastAsia" w:ascii="宋体" w:hAnsi="宋体"/>
          <w:b/>
          <w:color w:val="auto"/>
          <w:kern w:val="28"/>
          <w:sz w:val="44"/>
          <w:szCs w:val="36"/>
          <w:highlight w:val="none"/>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p>
      <w:pPr>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rPr>
        <w:t>试剂耗材询价情况一览表</w:t>
      </w:r>
      <w:r>
        <w:rPr>
          <w:rFonts w:hint="eastAsia"/>
          <w:sz w:val="24"/>
          <w:szCs w:val="24"/>
          <w:highlight w:val="none"/>
          <w:lang w:eastAsia="zh-CN"/>
        </w:rPr>
        <w:t>》</w:t>
      </w:r>
    </w:p>
    <w:tbl>
      <w:tblPr>
        <w:tblStyle w:val="12"/>
        <w:tblpPr w:leftFromText="180" w:rightFromText="180" w:vertAnchor="page" w:horzAnchor="page" w:tblpX="1008" w:tblpY="2601"/>
        <w:tblOverlap w:val="never"/>
        <w:tblW w:w="15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5"/>
        <w:gridCol w:w="1030"/>
        <w:gridCol w:w="1135"/>
        <w:gridCol w:w="1131"/>
        <w:gridCol w:w="1159"/>
        <w:gridCol w:w="1380"/>
        <w:gridCol w:w="1460"/>
        <w:gridCol w:w="1307"/>
        <w:gridCol w:w="1639"/>
        <w:gridCol w:w="1119"/>
        <w:gridCol w:w="1119"/>
        <w:gridCol w:w="11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0" w:hRule="atLeast"/>
        </w:trPr>
        <w:tc>
          <w:tcPr>
            <w:tcW w:w="615" w:type="dxa"/>
            <w:shd w:val="clear" w:color="auto" w:fill="auto"/>
            <w:noWrap/>
            <w:vAlign w:val="center"/>
          </w:tcPr>
          <w:p>
            <w:pPr>
              <w:bidi w:val="0"/>
              <w:rPr>
                <w:rFonts w:hint="eastAsia"/>
                <w:highlight w:val="none"/>
                <w:lang w:val="en-US" w:eastAsia="zh-CN"/>
              </w:rPr>
            </w:pPr>
          </w:p>
          <w:p>
            <w:pPr>
              <w:bidi w:val="0"/>
              <w:jc w:val="left"/>
              <w:rPr>
                <w:rFonts w:hint="default"/>
                <w:highlight w:val="none"/>
                <w:lang w:val="en-US" w:eastAsia="zh-CN"/>
              </w:rPr>
            </w:pPr>
            <w:r>
              <w:rPr>
                <w:rFonts w:hint="eastAsia"/>
                <w:highlight w:val="none"/>
                <w:lang w:val="en-US" w:eastAsia="zh-CN"/>
              </w:rPr>
              <w:t>序号</w:t>
            </w:r>
          </w:p>
        </w:tc>
        <w:tc>
          <w:tcPr>
            <w:tcW w:w="10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项目名称</w:t>
            </w: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收费编码以及收费标准</w:t>
            </w: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收费标准*45%</w:t>
            </w:r>
          </w:p>
        </w:tc>
        <w:tc>
          <w:tcPr>
            <w:tcW w:w="11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13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产品注册证</w:t>
            </w:r>
          </w:p>
        </w:tc>
        <w:tc>
          <w:tcPr>
            <w:tcW w:w="13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药交ID</w:t>
            </w:r>
          </w:p>
        </w:tc>
        <w:tc>
          <w:tcPr>
            <w:tcW w:w="16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产品编码</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sz w:val="21"/>
                <w:szCs w:val="21"/>
                <w:highlight w:val="none"/>
                <w:lang w:val="en-US" w:eastAsia="zh-CN"/>
              </w:rPr>
              <w:t>价格（报价不得高于联盟区价格）</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highlight w:val="none"/>
              </w:rPr>
              <w:t>可供多少人使用</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每人次单价（元）</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总单价（完成一个测试每人</w:t>
            </w:r>
            <w:r>
              <w:rPr>
                <w:rFonts w:hint="eastAsia" w:ascii="宋体" w:hAnsi="宋体" w:cs="宋体"/>
                <w:i w:val="0"/>
                <w:iCs w:val="0"/>
                <w:color w:val="000000"/>
                <w:kern w:val="0"/>
                <w:sz w:val="21"/>
                <w:szCs w:val="21"/>
                <w:highlight w:val="none"/>
                <w:u w:val="none"/>
                <w:lang w:val="en-US" w:eastAsia="zh-CN" w:bidi="ar"/>
              </w:rPr>
              <w:t>次</w:t>
            </w:r>
            <w:r>
              <w:rPr>
                <w:rFonts w:hint="eastAsia" w:ascii="宋体" w:hAnsi="宋体" w:eastAsia="宋体" w:cs="宋体"/>
                <w:i w:val="0"/>
                <w:iCs w:val="0"/>
                <w:color w:val="000000"/>
                <w:kern w:val="0"/>
                <w:sz w:val="21"/>
                <w:szCs w:val="21"/>
                <w:highlight w:val="none"/>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15" w:type="dxa"/>
            <w:vMerge w:val="restart"/>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030" w:type="dxa"/>
            <w:vMerge w:val="restart"/>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糖化血红蛋白测定-色谱法</w:t>
            </w:r>
          </w:p>
        </w:tc>
        <w:tc>
          <w:tcPr>
            <w:tcW w:w="1135"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250302003-1</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71元</w:t>
            </w:r>
          </w:p>
        </w:tc>
        <w:tc>
          <w:tcPr>
            <w:tcW w:w="1131"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31.95元</w:t>
            </w: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糖化血红蛋白层析柱</w:t>
            </w: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46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63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180元</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10人</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18元</w:t>
            </w:r>
          </w:p>
        </w:tc>
        <w:tc>
          <w:tcPr>
            <w:tcW w:w="1119"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5" w:hRule="atLeast"/>
        </w:trPr>
        <w:tc>
          <w:tcPr>
            <w:tcW w:w="615"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30"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35"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31"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糖化血红蛋白溶血剂</w:t>
            </w: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46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bidi="ar"/>
              </w:rPr>
              <w:t>xxx</w:t>
            </w:r>
          </w:p>
        </w:tc>
        <w:tc>
          <w:tcPr>
            <w:tcW w:w="163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xxx</w:t>
            </w: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120元</w:t>
            </w: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10人</w:t>
            </w: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12元</w:t>
            </w:r>
          </w:p>
        </w:tc>
        <w:tc>
          <w:tcPr>
            <w:tcW w:w="1119" w:type="dxa"/>
            <w:vMerge w:val="continue"/>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615"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30"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07"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3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15" w:type="dxa"/>
            <w:shd w:val="clear" w:color="auto" w:fill="auto"/>
            <w:noWrap/>
            <w:vAlign w:val="center"/>
          </w:tcPr>
          <w:p>
            <w:pPr>
              <w:jc w:val="center"/>
              <w:rPr>
                <w:rFonts w:hint="eastAsia" w:ascii="宋体" w:hAnsi="宋体" w:cs="宋体"/>
                <w:i w:val="0"/>
                <w:iCs w:val="0"/>
                <w:color w:val="000000"/>
                <w:sz w:val="24"/>
                <w:szCs w:val="24"/>
                <w:highlight w:val="none"/>
                <w:u w:val="none"/>
                <w:lang w:val="en-US" w:eastAsia="zh-CN"/>
              </w:rPr>
            </w:pPr>
          </w:p>
        </w:tc>
        <w:tc>
          <w:tcPr>
            <w:tcW w:w="1030"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07"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3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bl>
    <w:p>
      <w:pPr>
        <w:pStyle w:val="2"/>
        <w:rPr>
          <w:rFonts w:ascii="仿宋" w:hAnsi="仿宋" w:eastAsia="仿宋" w:cs="仿宋"/>
          <w:color w:val="auto"/>
          <w:sz w:val="24"/>
          <w:highlight w:val="none"/>
          <w:lang w:val="zh-CN"/>
        </w:rPr>
      </w:pP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血栓弹力图仪</w:t>
      </w:r>
      <w:r>
        <w:rPr>
          <w:rFonts w:hint="eastAsia" w:ascii="宋体" w:hAnsi="宋体" w:eastAsia="宋体" w:cs="宋体"/>
          <w:color w:val="auto"/>
          <w:szCs w:val="21"/>
          <w:highlight w:val="none"/>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《中山市非营利性医疗机构医疗服务价格》（物价编码：250203080）最新版本中收费标准的45%。</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38500F8"/>
    <w:rsid w:val="04574294"/>
    <w:rsid w:val="046572CE"/>
    <w:rsid w:val="063D4CBA"/>
    <w:rsid w:val="110D6847"/>
    <w:rsid w:val="126775F5"/>
    <w:rsid w:val="13F912AF"/>
    <w:rsid w:val="140524A5"/>
    <w:rsid w:val="17A84A31"/>
    <w:rsid w:val="184216FE"/>
    <w:rsid w:val="18AC198D"/>
    <w:rsid w:val="19015C51"/>
    <w:rsid w:val="1A362D0A"/>
    <w:rsid w:val="1A9A1AE2"/>
    <w:rsid w:val="1B7A09AE"/>
    <w:rsid w:val="1D3B4F89"/>
    <w:rsid w:val="1DB403E5"/>
    <w:rsid w:val="1F0C2891"/>
    <w:rsid w:val="1FF004A0"/>
    <w:rsid w:val="216D77C8"/>
    <w:rsid w:val="21F75571"/>
    <w:rsid w:val="26AC3567"/>
    <w:rsid w:val="27094723"/>
    <w:rsid w:val="270F59F1"/>
    <w:rsid w:val="27F37477"/>
    <w:rsid w:val="28E070A3"/>
    <w:rsid w:val="29447B44"/>
    <w:rsid w:val="29D54CD9"/>
    <w:rsid w:val="2A710EAE"/>
    <w:rsid w:val="2B9A59A4"/>
    <w:rsid w:val="2C1D6D0A"/>
    <w:rsid w:val="2D887C39"/>
    <w:rsid w:val="2D993838"/>
    <w:rsid w:val="2E110DC4"/>
    <w:rsid w:val="33126B04"/>
    <w:rsid w:val="33712CFE"/>
    <w:rsid w:val="33895773"/>
    <w:rsid w:val="39CC5697"/>
    <w:rsid w:val="3C740147"/>
    <w:rsid w:val="3C92069F"/>
    <w:rsid w:val="3E9B4363"/>
    <w:rsid w:val="3EEE625E"/>
    <w:rsid w:val="443A5766"/>
    <w:rsid w:val="44746547"/>
    <w:rsid w:val="47D506ED"/>
    <w:rsid w:val="4B8B77AE"/>
    <w:rsid w:val="4BF76F64"/>
    <w:rsid w:val="4E727A0D"/>
    <w:rsid w:val="4EBD0A92"/>
    <w:rsid w:val="4FA1686D"/>
    <w:rsid w:val="579F1125"/>
    <w:rsid w:val="58FB7C62"/>
    <w:rsid w:val="5A3921D0"/>
    <w:rsid w:val="5DC71851"/>
    <w:rsid w:val="5F0D4BF0"/>
    <w:rsid w:val="656A70AF"/>
    <w:rsid w:val="66AA15BF"/>
    <w:rsid w:val="684045C5"/>
    <w:rsid w:val="69340CF8"/>
    <w:rsid w:val="6C171CF3"/>
    <w:rsid w:val="6DDF526D"/>
    <w:rsid w:val="744B3E55"/>
    <w:rsid w:val="74D672EF"/>
    <w:rsid w:val="7B897636"/>
    <w:rsid w:val="7BDA70B6"/>
    <w:rsid w:val="7C115C9E"/>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link w:val="17"/>
    <w:qFormat/>
    <w:uiPriority w:val="0"/>
    <w:pPr>
      <w:widowControl/>
      <w:jc w:val="left"/>
    </w:pPr>
    <w:rPr>
      <w:kern w:val="0"/>
      <w:szCs w:val="20"/>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3"/>
    <w:next w:val="3"/>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3"/>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3212</Words>
  <Characters>3415</Characters>
  <Lines>23</Lines>
  <Paragraphs>6</Paragraphs>
  <TotalTime>1</TotalTime>
  <ScaleCrop>false</ScaleCrop>
  <LinksUpToDate>false</LinksUpToDate>
  <CharactersWithSpaces>3435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2023-04-11T01:28:31Z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D174C2C98887460CB11414CA33FE832D</vt:lpwstr>
  </property>
</Properties>
</file>