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3962" w:leftChars="1026" w:hanging="1807" w:hangingChars="500"/>
        <w:jc w:val="left"/>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eastAsia="宋体" w:cs="宋体"/>
          <w:b/>
          <w:bCs/>
          <w:color w:val="auto"/>
          <w:sz w:val="36"/>
          <w:szCs w:val="36"/>
          <w:highlight w:val="none"/>
          <w:lang w:val="en-US" w:eastAsia="zh-CN"/>
        </w:rPr>
        <w:t>擦手纸、卷纸</w:t>
      </w:r>
    </w:p>
    <w:p>
      <w:pPr>
        <w:keepNext w:val="0"/>
        <w:keepLines w:val="0"/>
        <w:pageBreakBefore w:val="0"/>
        <w:widowControl w:val="0"/>
        <w:kinsoku/>
        <w:wordWrap/>
        <w:overflowPunct/>
        <w:topLinePunct w:val="0"/>
        <w:autoSpaceDE/>
        <w:autoSpaceDN/>
        <w:bidi w:val="0"/>
        <w:adjustRightInd/>
        <w:snapToGrid/>
        <w:spacing w:line="360" w:lineRule="auto"/>
        <w:ind w:left="3950" w:leftChars="1881" w:firstLine="0" w:firstLineChars="0"/>
        <w:jc w:val="left"/>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lang w:val="en-US" w:eastAsia="zh-CN"/>
        </w:rPr>
        <w:t>供货</w:t>
      </w:r>
      <w:r>
        <w:rPr>
          <w:rFonts w:hint="eastAsia" w:ascii="宋体" w:hAnsi="宋体" w:eastAsia="宋体" w:cs="宋体"/>
          <w:b/>
          <w:bCs/>
          <w:color w:val="auto"/>
          <w:sz w:val="36"/>
          <w:szCs w:val="36"/>
          <w:highlight w:val="none"/>
        </w:rPr>
        <w:t>资格采购项目</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w:t>
      </w:r>
      <w:r>
        <w:rPr>
          <w:rFonts w:hint="eastAsia" w:ascii="宋体" w:hAnsi="宋体" w:cs="宋体"/>
          <w:b/>
          <w:color w:val="auto"/>
          <w:sz w:val="36"/>
          <w:szCs w:val="36"/>
          <w:highlight w:val="none"/>
          <w:lang w:val="en-US" w:eastAsia="zh-CN"/>
        </w:rPr>
        <w:t>XLYY20230250</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6"/>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04</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总预算金额（元）：¥225,000.00元</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ascii="宋体" w:hAnsi="宋体" w:cs="宋体"/>
                <w:b w:val="0"/>
                <w:bCs/>
                <w:szCs w:val="21"/>
                <w:lang w:val="en-US" w:eastAsia="zh-CN"/>
              </w:rPr>
              <w:t>擦手纸、卷纸供货</w:t>
            </w:r>
            <w:r>
              <w:rPr>
                <w:rFonts w:hint="eastAsia" w:ascii="宋体" w:hAnsi="宋体" w:cs="宋体"/>
                <w:b w:val="0"/>
                <w:bCs/>
                <w:szCs w:val="21"/>
              </w:rPr>
              <w:t>资格采购项目</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225,000.00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2023年4月12日16:00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请各供应商按照以下要求提供完整的响应文件（一式六份，一正五副），供采购人进行预审核：</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4月4日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23"/>
        <w:tabs>
          <w:tab w:val="left" w:pos="840"/>
        </w:tabs>
        <w:jc w:val="center"/>
        <w:rPr>
          <w:rFonts w:hint="eastAsia" w:ascii="宋体" w:hAnsi="宋体" w:eastAsia="宋体" w:cs="宋体"/>
          <w:sz w:val="32"/>
          <w:szCs w:val="21"/>
          <w:highlight w:val="none"/>
        </w:rPr>
      </w:pPr>
      <w:r>
        <w:rPr>
          <w:rFonts w:hint="eastAsia" w:ascii="宋体" w:hAnsi="宋体" w:eastAsia="宋体" w:cs="宋体"/>
          <w:sz w:val="32"/>
          <w:szCs w:val="21"/>
          <w:highlight w:val="none"/>
        </w:rPr>
        <w:t>用户需求书</w:t>
      </w:r>
    </w:p>
    <w:p>
      <w:pPr>
        <w:pStyle w:val="22"/>
        <w:numPr>
          <w:ilvl w:val="0"/>
          <w:numId w:val="6"/>
        </w:numPr>
        <w:spacing w:line="360" w:lineRule="auto"/>
        <w:ind w:firstLineChars="0"/>
        <w:rPr>
          <w:rFonts w:hint="eastAsia" w:ascii="宋体" w:hAnsi="宋体"/>
          <w:b/>
          <w:bCs/>
          <w:sz w:val="28"/>
          <w:szCs w:val="28"/>
          <w:highlight w:val="none"/>
        </w:rPr>
      </w:pPr>
      <w:r>
        <w:rPr>
          <w:rFonts w:hint="eastAsia" w:ascii="宋体" w:hAnsi="宋体"/>
          <w:b/>
          <w:bCs/>
          <w:sz w:val="28"/>
          <w:szCs w:val="28"/>
          <w:highlight w:val="none"/>
        </w:rPr>
        <w:t>总则</w:t>
      </w:r>
    </w:p>
    <w:p>
      <w:pPr>
        <w:widowControl w:val="0"/>
        <w:numPr>
          <w:ilvl w:val="0"/>
          <w:numId w:val="7"/>
        </w:numPr>
        <w:spacing w:line="360" w:lineRule="auto"/>
        <w:jc w:val="both"/>
        <w:rPr>
          <w:rFonts w:hint="eastAsia" w:ascii="宋体" w:hAnsi="宋体" w:cs="宋体"/>
          <w:b w:val="0"/>
          <w:bCs/>
          <w:szCs w:val="21"/>
          <w:highlight w:val="none"/>
        </w:rPr>
      </w:pPr>
      <w:r>
        <w:rPr>
          <w:rFonts w:hint="eastAsia" w:ascii="宋体" w:hAnsi="宋体" w:cs="宋体"/>
          <w:b w:val="0"/>
          <w:bCs/>
          <w:szCs w:val="21"/>
          <w:highlight w:val="none"/>
        </w:rPr>
        <w:t>项目名称</w:t>
      </w:r>
      <w:r>
        <w:rPr>
          <w:rFonts w:ascii="宋体" w:hAnsi="宋体" w:cs="宋体"/>
          <w:b w:val="0"/>
          <w:bCs/>
          <w:szCs w:val="21"/>
          <w:highlight w:val="none"/>
        </w:rPr>
        <w:t>：</w:t>
      </w:r>
      <w:r>
        <w:rPr>
          <w:rFonts w:hint="eastAsia" w:ascii="宋体" w:hAnsi="宋体" w:cs="宋体"/>
          <w:b w:val="0"/>
          <w:bCs/>
          <w:szCs w:val="21"/>
          <w:highlight w:val="none"/>
        </w:rPr>
        <w:t>中山市小榄人民医院</w:t>
      </w:r>
      <w:r>
        <w:rPr>
          <w:rFonts w:hint="eastAsia" w:ascii="宋体" w:hAnsi="宋体" w:cs="宋体"/>
          <w:b w:val="0"/>
          <w:bCs/>
          <w:szCs w:val="21"/>
          <w:highlight w:val="none"/>
          <w:lang w:val="en-US" w:eastAsia="zh-CN"/>
        </w:rPr>
        <w:t>擦手纸、卷纸供货</w:t>
      </w:r>
      <w:r>
        <w:rPr>
          <w:rFonts w:hint="eastAsia" w:ascii="宋体" w:hAnsi="宋体" w:cs="宋体"/>
          <w:b w:val="0"/>
          <w:bCs/>
          <w:szCs w:val="21"/>
          <w:highlight w:val="none"/>
        </w:rPr>
        <w:t>资格采购项目</w:t>
      </w:r>
    </w:p>
    <w:p>
      <w:pPr>
        <w:widowControl w:val="0"/>
        <w:numPr>
          <w:ilvl w:val="0"/>
          <w:numId w:val="7"/>
        </w:numPr>
        <w:spacing w:line="360" w:lineRule="auto"/>
        <w:jc w:val="both"/>
        <w:rPr>
          <w:rFonts w:hint="eastAsia" w:ascii="宋体" w:hAnsi="宋体" w:cs="宋体"/>
          <w:b w:val="0"/>
          <w:bCs/>
          <w:szCs w:val="21"/>
          <w:highlight w:val="none"/>
        </w:rPr>
      </w:pPr>
      <w:r>
        <w:rPr>
          <w:rFonts w:hint="eastAsia" w:ascii="宋体" w:hAnsi="宋体"/>
          <w:b w:val="0"/>
          <w:bCs/>
          <w:szCs w:val="21"/>
          <w:highlight w:val="none"/>
        </w:rPr>
        <w:t>供货期限：1 年</w:t>
      </w:r>
    </w:p>
    <w:p>
      <w:pPr>
        <w:widowControl w:val="0"/>
        <w:numPr>
          <w:ilvl w:val="0"/>
          <w:numId w:val="7"/>
        </w:numPr>
        <w:spacing w:line="360" w:lineRule="auto"/>
        <w:jc w:val="both"/>
        <w:rPr>
          <w:rFonts w:hint="eastAsia" w:ascii="宋体" w:hAnsi="宋体" w:cs="宋体"/>
          <w:b w:val="0"/>
          <w:bCs/>
          <w:szCs w:val="21"/>
          <w:highlight w:val="none"/>
        </w:rPr>
      </w:pPr>
      <w:r>
        <w:rPr>
          <w:rFonts w:hint="eastAsia" w:ascii="宋体" w:hAnsi="宋体"/>
          <w:b w:val="0"/>
          <w:bCs/>
          <w:szCs w:val="21"/>
          <w:highlight w:val="none"/>
        </w:rPr>
        <w:t>项目预算金额：</w:t>
      </w:r>
      <w:r>
        <w:rPr>
          <w:rFonts w:hint="eastAsia" w:ascii="宋体" w:hAnsi="宋体"/>
          <w:b w:val="0"/>
          <w:bCs/>
          <w:szCs w:val="21"/>
          <w:highlight w:val="none"/>
          <w:lang w:val="en-US" w:eastAsia="zh-CN"/>
        </w:rPr>
        <w:t>¥225</w:t>
      </w:r>
      <w:r>
        <w:rPr>
          <w:rFonts w:hint="eastAsia" w:ascii="宋体" w:hAnsi="宋体"/>
          <w:b w:val="0"/>
          <w:bCs/>
          <w:szCs w:val="21"/>
          <w:highlight w:val="none"/>
        </w:rPr>
        <w:t>,000.00元</w:t>
      </w:r>
    </w:p>
    <w:p>
      <w:pPr>
        <w:widowControl w:val="0"/>
        <w:numPr>
          <w:ilvl w:val="0"/>
          <w:numId w:val="7"/>
        </w:numPr>
        <w:spacing w:line="360" w:lineRule="auto"/>
        <w:jc w:val="both"/>
        <w:rPr>
          <w:rFonts w:hint="eastAsia" w:ascii="宋体" w:hAnsi="宋体" w:cs="宋体"/>
          <w:szCs w:val="21"/>
          <w:highlight w:val="none"/>
        </w:rPr>
      </w:pPr>
      <w:r>
        <w:rPr>
          <w:rFonts w:hint="eastAsia"/>
          <w:szCs w:val="21"/>
          <w:highlight w:val="none"/>
        </w:rPr>
        <w:t>本项目由成交供应商承包及负责磋商文件对成交供应商要求的一切事宜及责任。</w:t>
      </w:r>
    </w:p>
    <w:p>
      <w:pPr>
        <w:widowControl w:val="0"/>
        <w:numPr>
          <w:ilvl w:val="0"/>
          <w:numId w:val="7"/>
        </w:numPr>
        <w:spacing w:line="360" w:lineRule="auto"/>
        <w:jc w:val="both"/>
        <w:rPr>
          <w:rFonts w:hint="eastAsia" w:ascii="宋体" w:hAnsi="宋体" w:cs="宋体"/>
          <w:szCs w:val="21"/>
          <w:highlight w:val="none"/>
        </w:rPr>
      </w:pPr>
      <w:r>
        <w:rPr>
          <w:szCs w:val="21"/>
          <w:highlight w:val="none"/>
        </w:rPr>
        <w:t>本项目不接受联合体</w:t>
      </w:r>
      <w:r>
        <w:rPr>
          <w:rFonts w:hint="eastAsia"/>
          <w:szCs w:val="21"/>
          <w:highlight w:val="none"/>
        </w:rPr>
        <w:t>报价。</w:t>
      </w:r>
    </w:p>
    <w:p>
      <w:pPr>
        <w:pStyle w:val="22"/>
        <w:numPr>
          <w:ilvl w:val="0"/>
          <w:numId w:val="6"/>
        </w:numPr>
        <w:spacing w:line="360" w:lineRule="auto"/>
        <w:ind w:firstLineChars="0"/>
        <w:rPr>
          <w:rFonts w:hint="eastAsia" w:ascii="宋体" w:hAnsi="宋体"/>
          <w:b/>
          <w:bCs/>
          <w:sz w:val="28"/>
          <w:szCs w:val="28"/>
          <w:highlight w:val="none"/>
        </w:rPr>
      </w:pPr>
      <w:r>
        <w:rPr>
          <w:rFonts w:hint="eastAsia" w:ascii="宋体" w:hAnsi="宋体"/>
          <w:b/>
          <w:bCs/>
          <w:sz w:val="28"/>
          <w:szCs w:val="28"/>
          <w:highlight w:val="none"/>
        </w:rPr>
        <w:t>项目基本要求</w:t>
      </w:r>
    </w:p>
    <w:p>
      <w:pPr>
        <w:widowControl w:val="0"/>
        <w:spacing w:line="360" w:lineRule="auto"/>
        <w:jc w:val="both"/>
        <w:rPr>
          <w:szCs w:val="21"/>
          <w:highlight w:val="none"/>
        </w:rPr>
      </w:pPr>
      <w:r>
        <w:rPr>
          <w:rFonts w:hint="eastAsia"/>
          <w:szCs w:val="21"/>
          <w:highlight w:val="none"/>
        </w:rPr>
        <w:t>1.  交货地点：中山市小榄人民医院日用品仓库。</w:t>
      </w:r>
    </w:p>
    <w:p>
      <w:pPr>
        <w:widowControl w:val="0"/>
        <w:spacing w:line="360" w:lineRule="auto"/>
        <w:jc w:val="both"/>
        <w:rPr>
          <w:rFonts w:ascii="宋体" w:hAnsi="宋体" w:cs="宋体"/>
          <w:b w:val="0"/>
          <w:bCs/>
          <w:szCs w:val="21"/>
          <w:highlight w:val="none"/>
        </w:rPr>
      </w:pPr>
      <w:r>
        <w:rPr>
          <w:rFonts w:hint="eastAsia" w:ascii="宋体" w:hAnsi="宋体" w:cs="宋体"/>
          <w:b w:val="0"/>
          <w:bCs/>
          <w:szCs w:val="21"/>
          <w:highlight w:val="none"/>
        </w:rPr>
        <w:t>2. ★交货时间：成交供应商应保证充足的货源，保证供货，在收到采购人下单通知后</w:t>
      </w:r>
      <w:r>
        <w:rPr>
          <w:rFonts w:hint="eastAsia" w:ascii="宋体" w:hAnsi="宋体" w:cs="宋体"/>
          <w:b w:val="0"/>
          <w:bCs/>
          <w:szCs w:val="21"/>
          <w:highlight w:val="none"/>
          <w:u w:val="single"/>
        </w:rPr>
        <w:t>3</w:t>
      </w:r>
      <w:r>
        <w:rPr>
          <w:rFonts w:hint="eastAsia" w:ascii="宋体" w:hAnsi="宋体" w:cs="宋体"/>
          <w:b w:val="0"/>
          <w:bCs/>
          <w:szCs w:val="21"/>
          <w:highlight w:val="none"/>
        </w:rPr>
        <w:t>日内把指定货物交付到中山市小榄人民医院日用品仓库。如收到采购人紧急下单情况的，应在</w:t>
      </w:r>
      <w:r>
        <w:rPr>
          <w:rFonts w:hint="eastAsia" w:ascii="宋体" w:hAnsi="宋体" w:cs="宋体"/>
          <w:b w:val="0"/>
          <w:bCs/>
          <w:szCs w:val="21"/>
          <w:highlight w:val="none"/>
          <w:u w:val="single"/>
        </w:rPr>
        <w:t>3</w:t>
      </w:r>
      <w:r>
        <w:rPr>
          <w:rFonts w:hint="eastAsia" w:ascii="宋体" w:hAnsi="宋体" w:cs="宋体"/>
          <w:b w:val="0"/>
          <w:bCs/>
          <w:szCs w:val="21"/>
          <w:highlight w:val="none"/>
        </w:rPr>
        <w:t>小时内到货。</w:t>
      </w:r>
    </w:p>
    <w:p>
      <w:pPr>
        <w:widowControl w:val="0"/>
        <w:spacing w:line="360" w:lineRule="auto"/>
        <w:jc w:val="both"/>
        <w:rPr>
          <w:rFonts w:ascii="宋体" w:hAnsi="宋体" w:cs="宋体"/>
          <w:b w:val="0"/>
          <w:bCs/>
          <w:szCs w:val="21"/>
          <w:highlight w:val="none"/>
        </w:rPr>
      </w:pPr>
      <w:r>
        <w:rPr>
          <w:rFonts w:hint="eastAsia" w:ascii="宋体" w:hAnsi="宋体" w:cs="宋体"/>
          <w:b w:val="0"/>
          <w:bCs/>
          <w:szCs w:val="21"/>
          <w:highlight w:val="none"/>
        </w:rPr>
        <w:t>3. ★供货期限：本项目提供货物总额累计达到预算金额</w:t>
      </w:r>
      <w:r>
        <w:rPr>
          <w:rFonts w:hint="eastAsia" w:ascii="宋体" w:hAnsi="宋体"/>
          <w:b w:val="0"/>
          <w:bCs/>
          <w:szCs w:val="21"/>
          <w:highlight w:val="none"/>
          <w:u w:val="single"/>
          <w:lang w:val="en-US" w:eastAsia="zh-CN"/>
        </w:rPr>
        <w:t>¥225</w:t>
      </w:r>
      <w:r>
        <w:rPr>
          <w:rFonts w:hint="eastAsia" w:ascii="宋体" w:hAnsi="宋体"/>
          <w:b w:val="0"/>
          <w:bCs/>
          <w:szCs w:val="21"/>
          <w:highlight w:val="none"/>
          <w:u w:val="single"/>
        </w:rPr>
        <w:t>,000.00</w:t>
      </w:r>
      <w:r>
        <w:rPr>
          <w:rFonts w:hint="eastAsia" w:ascii="宋体" w:hAnsi="宋体" w:cs="宋体"/>
          <w:b w:val="0"/>
          <w:bCs/>
          <w:szCs w:val="21"/>
          <w:highlight w:val="none"/>
        </w:rPr>
        <w:t>或项目供货期满，则合同自动终止。成交供应商在实施项目过程中如有违法违规行为的，采购人有权取消其供货资格，造成的损失由成交供应商承担。</w:t>
      </w:r>
    </w:p>
    <w:p>
      <w:pPr>
        <w:widowControl w:val="0"/>
        <w:spacing w:line="360" w:lineRule="auto"/>
        <w:jc w:val="both"/>
        <w:rPr>
          <w:rFonts w:ascii="宋体" w:hAnsi="宋体" w:cs="宋体"/>
          <w:szCs w:val="21"/>
          <w:highlight w:val="none"/>
        </w:rPr>
      </w:pPr>
      <w:r>
        <w:rPr>
          <w:rFonts w:hint="eastAsia" w:ascii="宋体" w:hAnsi="宋体" w:cs="宋体"/>
          <w:szCs w:val="21"/>
          <w:highlight w:val="none"/>
        </w:rPr>
        <w:t>4. 成交供应商不得以任何方式转包或分包本项目，否则视为毁约。</w:t>
      </w:r>
    </w:p>
    <w:p>
      <w:pPr>
        <w:widowControl w:val="0"/>
        <w:spacing w:line="360" w:lineRule="auto"/>
        <w:jc w:val="both"/>
        <w:rPr>
          <w:rFonts w:ascii="宋体" w:hAnsi="宋体" w:cs="宋体"/>
          <w:szCs w:val="21"/>
          <w:highlight w:val="none"/>
        </w:rPr>
      </w:pPr>
      <w:r>
        <w:rPr>
          <w:rFonts w:hint="eastAsia" w:ascii="宋体" w:hAnsi="宋体" w:cs="宋体"/>
          <w:szCs w:val="21"/>
          <w:highlight w:val="none"/>
        </w:rPr>
        <w:t>5. 供应商须对本项目全部内容进行整体响应，任何只对其中一部分内容进行响应的都将视为无效响应。</w:t>
      </w:r>
    </w:p>
    <w:p>
      <w:pPr>
        <w:widowControl w:val="0"/>
        <w:spacing w:line="360" w:lineRule="auto"/>
        <w:jc w:val="both"/>
        <w:rPr>
          <w:rFonts w:ascii="宋体" w:hAnsi="宋体" w:cs="宋体"/>
          <w:szCs w:val="21"/>
          <w:highlight w:val="none"/>
        </w:rPr>
      </w:pPr>
      <w:r>
        <w:rPr>
          <w:rFonts w:hint="eastAsia" w:ascii="宋体" w:hAnsi="宋体" w:cs="宋体"/>
          <w:szCs w:val="21"/>
          <w:highlight w:val="none"/>
        </w:rPr>
        <w:t>6. 在供货期内，如个别产品遇到停产情况的，成交供应商需提前15天书面告知采购人并经采购人同意后，提供等同于或优于原参数的产品供采购人使用，不得断供。</w:t>
      </w:r>
    </w:p>
    <w:p>
      <w:pPr>
        <w:widowControl w:val="0"/>
        <w:spacing w:line="360" w:lineRule="auto"/>
        <w:jc w:val="both"/>
        <w:rPr>
          <w:rFonts w:ascii="宋体" w:hAnsi="宋体" w:cs="宋体"/>
          <w:szCs w:val="21"/>
          <w:highlight w:val="none"/>
        </w:rPr>
      </w:pPr>
      <w:r>
        <w:rPr>
          <w:rFonts w:hint="eastAsia" w:ascii="宋体" w:hAnsi="宋体" w:cs="宋体"/>
          <w:szCs w:val="21"/>
          <w:highlight w:val="none"/>
        </w:rPr>
        <w:t>7. 本次采购只进行供应商供货资格的招标，本次招标为协议供货资格的取得，并不代表货物已售出，采购人无法预计也无法保证向成交供应商采购的数量。采购人按照本单位使用情况下单所需货物数量，成交供应商不得对采购人所采购货物数量作要求或质疑，结算时以实际发生量为准。本项目以供货期满或项目预算使用完毕为结束时间点。</w:t>
      </w:r>
    </w:p>
    <w:p>
      <w:pPr>
        <w:pStyle w:val="22"/>
        <w:numPr>
          <w:ilvl w:val="0"/>
          <w:numId w:val="6"/>
        </w:numPr>
        <w:spacing w:line="360" w:lineRule="auto"/>
        <w:ind w:firstLineChars="0"/>
        <w:rPr>
          <w:rFonts w:ascii="宋体" w:hAnsi="宋体"/>
          <w:b/>
          <w:bCs/>
          <w:sz w:val="28"/>
          <w:szCs w:val="28"/>
          <w:highlight w:val="none"/>
        </w:rPr>
      </w:pPr>
      <w:r>
        <w:rPr>
          <w:rFonts w:hint="eastAsia" w:ascii="宋体" w:hAnsi="宋体"/>
          <w:b/>
          <w:bCs/>
          <w:sz w:val="28"/>
          <w:szCs w:val="28"/>
          <w:highlight w:val="none"/>
        </w:rPr>
        <w:t>项目采购清单</w:t>
      </w:r>
    </w:p>
    <w:tbl>
      <w:tblPr>
        <w:tblStyle w:val="14"/>
        <w:tblW w:w="9291" w:type="dxa"/>
        <w:jc w:val="center"/>
        <w:tblLayout w:type="fixed"/>
        <w:tblCellMar>
          <w:top w:w="0" w:type="dxa"/>
          <w:left w:w="108" w:type="dxa"/>
          <w:bottom w:w="0" w:type="dxa"/>
          <w:right w:w="108" w:type="dxa"/>
        </w:tblCellMar>
      </w:tblPr>
      <w:tblGrid>
        <w:gridCol w:w="645"/>
        <w:gridCol w:w="941"/>
        <w:gridCol w:w="6352"/>
        <w:gridCol w:w="450"/>
        <w:gridCol w:w="903"/>
      </w:tblGrid>
      <w:tr>
        <w:tblPrEx>
          <w:tblCellMar>
            <w:top w:w="0" w:type="dxa"/>
            <w:left w:w="108" w:type="dxa"/>
            <w:bottom w:w="0" w:type="dxa"/>
            <w:right w:w="108" w:type="dxa"/>
          </w:tblCellMar>
        </w:tblPrEx>
        <w:trPr>
          <w:trHeight w:val="735" w:hRule="atLeast"/>
          <w:jc w:val="center"/>
        </w:trPr>
        <w:tc>
          <w:tcPr>
            <w:tcW w:w="645" w:type="dxa"/>
            <w:tcBorders>
              <w:top w:val="single" w:color="000000" w:sz="8" w:space="0"/>
              <w:left w:val="single" w:color="000000" w:sz="8" w:space="0"/>
              <w:bottom w:val="single" w:color="000000" w:sz="8" w:space="0"/>
              <w:right w:val="nil"/>
            </w:tcBorders>
            <w:noWrap/>
            <w:vAlign w:val="center"/>
          </w:tcPr>
          <w:p>
            <w:pPr>
              <w:jc w:val="center"/>
              <w:textAlignment w:val="center"/>
              <w:rPr>
                <w:rFonts w:ascii="宋体" w:hAnsi="宋体" w:cs="宋体"/>
                <w:b/>
                <w:bCs/>
                <w:sz w:val="18"/>
                <w:szCs w:val="18"/>
                <w:highlight w:val="none"/>
              </w:rPr>
            </w:pPr>
            <w:r>
              <w:rPr>
                <w:rFonts w:hint="eastAsia" w:ascii="宋体" w:hAnsi="宋体" w:cs="宋体"/>
                <w:b/>
                <w:bCs/>
                <w:sz w:val="18"/>
                <w:szCs w:val="18"/>
                <w:highlight w:val="none"/>
                <w:lang w:bidi="ar"/>
              </w:rPr>
              <w:t>序号</w:t>
            </w:r>
          </w:p>
        </w:tc>
        <w:tc>
          <w:tcPr>
            <w:tcW w:w="941" w:type="dxa"/>
            <w:tcBorders>
              <w:top w:val="single" w:color="000000" w:sz="8" w:space="0"/>
              <w:left w:val="single" w:color="000000" w:sz="8" w:space="0"/>
              <w:bottom w:val="single" w:color="000000" w:sz="4" w:space="0"/>
              <w:right w:val="single" w:color="000000" w:sz="4" w:space="0"/>
            </w:tcBorders>
            <w:noWrap/>
            <w:vAlign w:val="center"/>
          </w:tcPr>
          <w:p>
            <w:pPr>
              <w:jc w:val="center"/>
              <w:textAlignment w:val="center"/>
              <w:rPr>
                <w:rFonts w:ascii="宋体" w:hAnsi="宋体" w:cs="宋体"/>
                <w:b/>
                <w:bCs/>
                <w:sz w:val="18"/>
                <w:szCs w:val="18"/>
                <w:highlight w:val="none"/>
              </w:rPr>
            </w:pPr>
            <w:r>
              <w:rPr>
                <w:rFonts w:hint="eastAsia" w:ascii="宋体" w:hAnsi="宋体" w:cs="宋体"/>
                <w:b/>
                <w:bCs/>
                <w:sz w:val="18"/>
                <w:szCs w:val="18"/>
                <w:highlight w:val="none"/>
                <w:lang w:bidi="ar"/>
              </w:rPr>
              <w:t>采购物品</w:t>
            </w:r>
          </w:p>
        </w:tc>
        <w:tc>
          <w:tcPr>
            <w:tcW w:w="6352" w:type="dxa"/>
            <w:tcBorders>
              <w:top w:val="single" w:color="000000" w:sz="8"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bCs/>
                <w:sz w:val="18"/>
                <w:szCs w:val="18"/>
                <w:highlight w:val="none"/>
              </w:rPr>
            </w:pPr>
            <w:r>
              <w:rPr>
                <w:rFonts w:hint="eastAsia" w:ascii="宋体" w:hAnsi="宋体" w:cs="宋体"/>
                <w:b/>
                <w:bCs/>
                <w:sz w:val="18"/>
                <w:szCs w:val="18"/>
                <w:highlight w:val="none"/>
                <w:lang w:val="en-US" w:eastAsia="zh-CN" w:bidi="ar"/>
              </w:rPr>
              <w:t>规格</w:t>
            </w:r>
            <w:r>
              <w:rPr>
                <w:rFonts w:hint="eastAsia" w:ascii="宋体" w:hAnsi="宋体" w:cs="宋体"/>
                <w:b/>
                <w:bCs/>
                <w:sz w:val="18"/>
                <w:szCs w:val="18"/>
                <w:highlight w:val="none"/>
                <w:lang w:bidi="ar"/>
              </w:rPr>
              <w:t>及参数要求</w:t>
            </w:r>
          </w:p>
        </w:tc>
        <w:tc>
          <w:tcPr>
            <w:tcW w:w="450"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b/>
                <w:bCs/>
                <w:sz w:val="18"/>
                <w:szCs w:val="18"/>
                <w:highlight w:val="none"/>
              </w:rPr>
            </w:pPr>
            <w:r>
              <w:rPr>
                <w:rFonts w:hint="eastAsia" w:ascii="宋体" w:hAnsi="宋体" w:cs="宋体"/>
                <w:b/>
                <w:bCs/>
                <w:sz w:val="18"/>
                <w:szCs w:val="18"/>
                <w:highlight w:val="none"/>
                <w:lang w:bidi="ar"/>
              </w:rPr>
              <w:t>单位</w:t>
            </w:r>
          </w:p>
        </w:tc>
        <w:tc>
          <w:tcPr>
            <w:tcW w:w="903"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lang w:bidi="ar"/>
              </w:rPr>
              <w:t>最高单价限价（元）</w:t>
            </w:r>
          </w:p>
        </w:tc>
      </w:tr>
      <w:tr>
        <w:tblPrEx>
          <w:tblCellMar>
            <w:top w:w="0" w:type="dxa"/>
            <w:left w:w="108" w:type="dxa"/>
            <w:bottom w:w="0" w:type="dxa"/>
            <w:right w:w="108" w:type="dxa"/>
          </w:tblCellMar>
        </w:tblPrEx>
        <w:trPr>
          <w:trHeight w:val="803" w:hRule="atLeast"/>
          <w:jc w:val="center"/>
        </w:trPr>
        <w:tc>
          <w:tcPr>
            <w:tcW w:w="645" w:type="dxa"/>
            <w:tcBorders>
              <w:top w:val="nil"/>
              <w:left w:val="single" w:color="000000" w:sz="4" w:space="0"/>
              <w:bottom w:val="nil"/>
              <w:right w:val="nil"/>
            </w:tcBorders>
            <w:noWrap/>
            <w:vAlign w:val="center"/>
          </w:tcPr>
          <w:p>
            <w:pPr>
              <w:numPr>
                <w:ilvl w:val="0"/>
                <w:numId w:val="8"/>
              </w:numPr>
              <w:ind w:left="0" w:firstLine="0"/>
              <w:jc w:val="center"/>
              <w:textAlignment w:val="center"/>
              <w:rPr>
                <w:rFonts w:ascii="宋体" w:hAnsi="宋体" w:cs="宋体"/>
                <w:sz w:val="18"/>
                <w:szCs w:val="18"/>
                <w:highlight w:val="none"/>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擦手纸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▲（1）规格：每包≥200抽，22.5cm×23</w:t>
            </w:r>
            <w:r>
              <w:rPr>
                <w:rFonts w:hint="eastAsia" w:asciiTheme="minorEastAsia" w:hAnsi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lang w:val="en-US" w:eastAsia="zh-CN"/>
              </w:rPr>
              <w:t>cm （长偏差±5㎜；宽偏差±5㎜；偏斜度≤3㎜）。</w:t>
            </w:r>
          </w:p>
          <w:p>
            <w:pPr>
              <w:widowControl/>
              <w:spacing w:line="360" w:lineRule="auto"/>
              <w:ind w:firstLine="210" w:firstLineChars="1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★（2）材质：</w:t>
            </w:r>
            <w:r>
              <w:rPr>
                <w:rFonts w:hint="eastAsia" w:asciiTheme="minorEastAsia" w:hAnsiTheme="minorEastAsia" w:cstheme="minorEastAsia"/>
                <w:color w:val="auto"/>
                <w:szCs w:val="21"/>
                <w:highlight w:val="none"/>
                <w:lang w:val="en-US" w:eastAsia="zh-CN"/>
              </w:rPr>
              <w:t>100%</w:t>
            </w:r>
            <w:r>
              <w:rPr>
                <w:rFonts w:hint="eastAsia" w:asciiTheme="minorEastAsia" w:hAnsiTheme="minorEastAsia" w:eastAsiaTheme="minorEastAsia" w:cstheme="minorEastAsia"/>
                <w:color w:val="auto"/>
                <w:szCs w:val="21"/>
                <w:highlight w:val="none"/>
                <w:lang w:val="en-US" w:eastAsia="zh-CN"/>
              </w:rPr>
              <w:t>原</w:t>
            </w:r>
            <w:r>
              <w:rPr>
                <w:rFonts w:hint="eastAsia" w:asciiTheme="minorEastAsia" w:hAnsiTheme="minorEastAsia" w:cstheme="minorEastAsia"/>
                <w:color w:val="auto"/>
                <w:szCs w:val="21"/>
                <w:highlight w:val="none"/>
                <w:lang w:val="en-US" w:eastAsia="zh-CN"/>
              </w:rPr>
              <w:t>生</w:t>
            </w:r>
            <w:r>
              <w:rPr>
                <w:rFonts w:hint="eastAsia" w:asciiTheme="minorEastAsia" w:hAnsiTheme="minorEastAsia" w:eastAsiaTheme="minorEastAsia" w:cstheme="minorEastAsia"/>
                <w:color w:val="auto"/>
                <w:szCs w:val="21"/>
                <w:highlight w:val="none"/>
                <w:lang w:val="en-US" w:eastAsia="zh-CN"/>
              </w:rPr>
              <w:t>木浆</w:t>
            </w:r>
            <w:r>
              <w:rPr>
                <w:rFonts w:hint="eastAsia" w:asciiTheme="minorEastAsia" w:hAnsiTheme="minorEastAsia" w:cstheme="minorEastAsia"/>
                <w:color w:val="auto"/>
                <w:szCs w:val="21"/>
                <w:highlight w:val="none"/>
                <w:lang w:val="en-US" w:eastAsia="zh-CN"/>
              </w:rPr>
              <w:t>，无香</w:t>
            </w:r>
            <w:r>
              <w:rPr>
                <w:rFonts w:hint="eastAsia" w:asciiTheme="minorEastAsia" w:hAnsiTheme="minorEastAsia" w:eastAsiaTheme="minorEastAsia" w:cstheme="minorEastAsia"/>
                <w:color w:val="auto"/>
                <w:szCs w:val="21"/>
                <w:highlight w:val="none"/>
                <w:lang w:val="en-US" w:eastAsia="zh-CN"/>
              </w:rPr>
              <w:t>。</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▲（3）外观：白色、皱纹细腻、均匀，直面洁净、无印花及图案，不应有明显的死皱、残缺、破损、沙子、硬质块、生浆、杂质等纸病，不应有掉粉、掉毛及湿水后粘手、掉色等现象。</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▲（4）定量：≥43g/㎡</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（5）亮度（白度）：≤88.0%</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（6）横向抗张指数：≥5.0 N·m/g</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（7）纵向湿抗张指数：≥3.0 N·m/g</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（8）单层横向吸液高度（成品层）：≥15 mm/100s</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（9）洞眼：总数≤10个/㎡；（2～5）mm≤10个/㎡；（＞5mm，≤8mm）≤1个/㎡；（＞8mm）不应有。</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（10）尘埃度：总数≤100个/㎡；（0.2～1.0）ｍ㎡≤100个/㎡；（＞1.0ｍ㎡，≤2.0ｍ㎡）≤2个/㎡；（＞2.0ｍ㎡）不应有。</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（11）交货水分：≤10.0%</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（12）内装量偏差：≥-2.0%</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（13）产品销售包装标志：产品名称、商标、标准编号、生产日期和保质期或生产批号和限用日期、合格标志、生产企业（或产品责任单位）名称、详细地址等符合标准要求。</w:t>
            </w:r>
          </w:p>
          <w:p>
            <w:pPr>
              <w:widowControl/>
              <w:spacing w:line="360" w:lineRule="auto"/>
              <w:ind w:firstLine="210" w:firstLineChars="100"/>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（14）不得检测出大肠菌落、金黄色葡萄球菌及溶血性链球菌。</w:t>
            </w:r>
          </w:p>
          <w:p>
            <w:pPr>
              <w:widowControl/>
              <w:spacing w:line="360" w:lineRule="auto"/>
              <w:ind w:firstLine="210" w:firstLineChars="100"/>
              <w:jc w:val="left"/>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val="en-US" w:eastAsia="zh-CN"/>
              </w:rPr>
              <w:t>）投标人在投标现场必须提供第三方检测部门出具的合格检测报告复印件，检测报告的内容可以佐证上述质量要求。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bidi="ar"/>
              </w:rPr>
              <w:t>包</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7.1</w:t>
            </w:r>
          </w:p>
        </w:tc>
      </w:tr>
      <w:tr>
        <w:tblPrEx>
          <w:tblCellMar>
            <w:top w:w="0" w:type="dxa"/>
            <w:left w:w="108" w:type="dxa"/>
            <w:bottom w:w="0" w:type="dxa"/>
            <w:right w:w="108" w:type="dxa"/>
          </w:tblCellMar>
        </w:tblPrEx>
        <w:trPr>
          <w:trHeight w:val="90" w:hRule="atLeast"/>
          <w:jc w:val="center"/>
        </w:trPr>
        <w:tc>
          <w:tcPr>
            <w:tcW w:w="645" w:type="dxa"/>
            <w:tcBorders>
              <w:top w:val="nil"/>
              <w:left w:val="single" w:color="000000" w:sz="4" w:space="0"/>
              <w:bottom w:val="single" w:color="000000" w:sz="4" w:space="0"/>
              <w:right w:val="nil"/>
            </w:tcBorders>
            <w:noWrap/>
            <w:vAlign w:val="center"/>
          </w:tcPr>
          <w:p>
            <w:pPr>
              <w:numPr>
                <w:ilvl w:val="0"/>
                <w:numId w:val="8"/>
              </w:numPr>
              <w:ind w:left="0" w:firstLine="0"/>
              <w:jc w:val="center"/>
              <w:textAlignment w:val="center"/>
              <w:rPr>
                <w:rFonts w:ascii="宋体" w:hAnsi="宋体" w:cs="宋体"/>
                <w:sz w:val="18"/>
                <w:szCs w:val="18"/>
                <w:highlight w:val="none"/>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卷纸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szCs w:val="21"/>
                <w:highlight w:val="none"/>
                <w:lang w:val="en-US" w:eastAsia="zh-CN"/>
              </w:rPr>
              <w:t>▲（1）规格型号：101mm</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cstheme="minorEastAsia"/>
                <w:color w:val="auto"/>
                <w:szCs w:val="21"/>
                <w:highlight w:val="none"/>
                <w:lang w:val="en-US" w:eastAsia="zh-CN"/>
              </w:rPr>
              <w:t>138</w:t>
            </w:r>
            <w:r>
              <w:rPr>
                <w:rFonts w:hint="eastAsia" w:asciiTheme="minorEastAsia" w:hAnsiTheme="minorEastAsia" w:eastAsiaTheme="minorEastAsia" w:cstheme="minorEastAsia"/>
                <w:color w:val="auto"/>
                <w:szCs w:val="21"/>
                <w:highlight w:val="none"/>
                <w:lang w:val="en-US" w:eastAsia="zh-CN"/>
              </w:rPr>
              <w:t>mm/节（尺寸偏差：长偏差±5㎜；宽偏差±5㎜；偏斜度≤3㎜）；</w:t>
            </w:r>
            <w:r>
              <w:rPr>
                <w:rFonts w:hint="eastAsia" w:asciiTheme="minorEastAsia" w:hAnsiTheme="minorEastAsia" w:cstheme="minorEastAsia"/>
                <w:color w:val="auto"/>
                <w:szCs w:val="21"/>
                <w:highlight w:val="none"/>
                <w:lang w:val="en-US" w:eastAsia="zh-CN"/>
              </w:rPr>
              <w:t>四</w:t>
            </w:r>
            <w:r>
              <w:rPr>
                <w:rFonts w:hint="eastAsia" w:asciiTheme="minorEastAsia" w:hAnsiTheme="minorEastAsia" w:eastAsiaTheme="minorEastAsia" w:cstheme="minorEastAsia"/>
                <w:color w:val="auto"/>
                <w:szCs w:val="21"/>
                <w:highlight w:val="none"/>
                <w:lang w:val="en-US" w:eastAsia="zh-CN"/>
              </w:rPr>
              <w:t>层；10卷/条；≥1</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val="en-US" w:eastAsia="zh-CN"/>
              </w:rPr>
              <w:t>0g/卷。</w:t>
            </w:r>
          </w:p>
          <w:p>
            <w:pPr>
              <w:widowControl/>
              <w:spacing w:line="360" w:lineRule="auto"/>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★（2）材质：</w:t>
            </w:r>
            <w:r>
              <w:rPr>
                <w:rFonts w:hint="eastAsia" w:asciiTheme="minorEastAsia" w:hAnsiTheme="minorEastAsia" w:cstheme="minorEastAsia"/>
                <w:color w:val="auto"/>
                <w:szCs w:val="21"/>
                <w:highlight w:val="none"/>
                <w:lang w:val="en-US" w:eastAsia="zh-CN"/>
              </w:rPr>
              <w:t>100%</w:t>
            </w:r>
            <w:r>
              <w:rPr>
                <w:rFonts w:hint="eastAsia" w:asciiTheme="minorEastAsia" w:hAnsiTheme="minorEastAsia" w:eastAsiaTheme="minorEastAsia" w:cstheme="minorEastAsia"/>
                <w:color w:val="auto"/>
                <w:szCs w:val="21"/>
                <w:highlight w:val="none"/>
                <w:lang w:val="en-US" w:eastAsia="zh-CN"/>
              </w:rPr>
              <w:t>原</w:t>
            </w:r>
            <w:r>
              <w:rPr>
                <w:rFonts w:hint="eastAsia" w:asciiTheme="minorEastAsia" w:hAnsiTheme="minorEastAsia" w:cstheme="minorEastAsia"/>
                <w:color w:val="auto"/>
                <w:szCs w:val="21"/>
                <w:highlight w:val="none"/>
                <w:lang w:val="en-US" w:eastAsia="zh-CN"/>
              </w:rPr>
              <w:t>生</w:t>
            </w:r>
            <w:r>
              <w:rPr>
                <w:rFonts w:hint="eastAsia" w:asciiTheme="minorEastAsia" w:hAnsiTheme="minorEastAsia" w:eastAsiaTheme="minorEastAsia" w:cstheme="minorEastAsia"/>
                <w:color w:val="auto"/>
                <w:szCs w:val="21"/>
                <w:highlight w:val="none"/>
                <w:lang w:val="en-US" w:eastAsia="zh-CN"/>
              </w:rPr>
              <w:t>木浆</w:t>
            </w:r>
            <w:r>
              <w:rPr>
                <w:rFonts w:hint="eastAsia" w:asciiTheme="minorEastAsia" w:hAnsiTheme="minorEastAsia" w:cstheme="minorEastAsia"/>
                <w:color w:val="auto"/>
                <w:szCs w:val="21"/>
                <w:highlight w:val="none"/>
                <w:lang w:val="en-US" w:eastAsia="zh-CN"/>
              </w:rPr>
              <w:t>，无香；符合GB/T 20810 执行标准</w:t>
            </w:r>
            <w:r>
              <w:rPr>
                <w:rFonts w:hint="eastAsia" w:asciiTheme="minorEastAsia" w:hAnsiTheme="minorEastAsia" w:eastAsiaTheme="minorEastAsia" w:cstheme="minorEastAsia"/>
                <w:color w:val="auto"/>
                <w:szCs w:val="21"/>
                <w:highlight w:val="none"/>
                <w:lang w:val="en-US" w:eastAsia="zh-CN"/>
              </w:rPr>
              <w:t>。</w:t>
            </w:r>
          </w:p>
          <w:p>
            <w:pPr>
              <w:widowControl/>
              <w:spacing w:line="360" w:lineRule="auto"/>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▲（3）外观：白色、皱纹细腻、均匀，直面洁净、无印花及图案，不应有明显的死皱、残缺、破损、沙子、硬质块、生浆、杂质等纸病，不应有掉粉、掉毛等现象。</w:t>
            </w:r>
          </w:p>
          <w:p>
            <w:pPr>
              <w:widowControl/>
              <w:spacing w:line="360" w:lineRule="auto"/>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▲（4）定量：≥1</w:t>
            </w:r>
            <w:r>
              <w:rPr>
                <w:rFonts w:hint="eastAsia" w:asciiTheme="minorEastAsia" w:hAnsi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val="en-US" w:eastAsia="zh-CN"/>
              </w:rPr>
              <w:t>g/㎡</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（5）亮度：≤90.0%</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（6）横向吸液高度（成品层）：≥40 mm/100s</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（7）抗张指数（纵横平均）：≥3.5 N·m/g</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（8）柔软度（成品层纵横平均）：≤220 mN</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（9）洞眼：总数≤6/㎡；（2～5）mm≤6/㎡；（＞5mm，≤8mm）≤2/㎡；（＞8mm）不应有。</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（10）尘埃度：总数≤20个/㎡；（0.2～1.0）ｍ㎡≤20个/㎡；（＞1.0ｍ㎡，≤2.0ｍ㎡）≤4个/㎡；（＞2.0ｍ㎡）不应有。</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（11）交货水分：≤9.0%</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(12) 灰分：≤1.0%</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（13）不得检测出大肠菌落、金黄色葡萄球菌及溶血性链球菌等致病性球菌。</w:t>
            </w:r>
          </w:p>
          <w:p>
            <w:pPr>
              <w:widowControl/>
              <w:spacing w:line="360" w:lineRule="auto"/>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（14）产品销售包装标志：产品名称、商标、标准编号、生产日期和保质期或生产批号和限用日期、合格标志、生产企业（或产品责任单位）名称、详细地址等符合标准要求。</w:t>
            </w:r>
          </w:p>
          <w:p>
            <w:pPr>
              <w:widowControl/>
              <w:spacing w:line="360" w:lineRule="auto"/>
              <w:jc w:val="left"/>
              <w:rPr>
                <w:rFonts w:hint="eastAsia" w:ascii="宋体" w:hAnsi="宋体" w:cs="宋体" w:eastAsiaTheme="minorEastAsia"/>
                <w:sz w:val="18"/>
                <w:szCs w:val="18"/>
                <w:highlight w:val="none"/>
                <w:lang w:eastAsia="zh-CN"/>
              </w:rPr>
            </w:pPr>
            <w:r>
              <w:rPr>
                <w:rFonts w:hint="eastAsia" w:asciiTheme="minorEastAsia" w:hAnsiTheme="minorEastAsia" w:eastAsiaTheme="minorEastAsia" w:cstheme="minorEastAsia"/>
                <w:szCs w:val="21"/>
                <w:highlight w:val="none"/>
                <w:lang w:val="en-US" w:eastAsia="zh-CN"/>
              </w:rPr>
              <w:t>★（15）投标人在投标现场必须提供第三方检测部门出具的合格检测报告复印件，检测报告的内容可以佐证上述质量要求。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条</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25</w:t>
            </w:r>
          </w:p>
        </w:tc>
      </w:tr>
    </w:tbl>
    <w:p>
      <w:pPr>
        <w:spacing w:line="360" w:lineRule="auto"/>
        <w:rPr>
          <w:rFonts w:ascii="宋体" w:hAnsi="宋体" w:cs="宋体"/>
          <w:b/>
          <w:szCs w:val="21"/>
          <w:highlight w:val="none"/>
        </w:rPr>
      </w:pPr>
      <w:r>
        <w:rPr>
          <w:rFonts w:hint="eastAsia" w:ascii="宋体" w:hAnsi="宋体" w:cs="宋体"/>
          <w:b/>
          <w:szCs w:val="21"/>
          <w:highlight w:val="none"/>
        </w:rPr>
        <w:t>说明：</w:t>
      </w:r>
    </w:p>
    <w:p>
      <w:pPr>
        <w:widowControl w:val="0"/>
        <w:numPr>
          <w:ilvl w:val="0"/>
          <w:numId w:val="9"/>
        </w:numPr>
        <w:spacing w:line="360" w:lineRule="auto"/>
        <w:jc w:val="both"/>
        <w:rPr>
          <w:rFonts w:ascii="宋体" w:hAnsi="宋体" w:cs="宋体"/>
          <w:b w:val="0"/>
          <w:bCs/>
          <w:szCs w:val="21"/>
          <w:highlight w:val="none"/>
        </w:rPr>
      </w:pPr>
      <w:r>
        <w:rPr>
          <w:rFonts w:hint="eastAsia" w:ascii="宋体" w:hAnsi="宋体"/>
          <w:bCs/>
          <w:szCs w:val="21"/>
          <w:highlight w:val="none"/>
          <w:lang w:val="en-US" w:eastAsia="zh-CN"/>
        </w:rPr>
        <w:t>响应供应商</w:t>
      </w:r>
      <w:r>
        <w:rPr>
          <w:rFonts w:hint="eastAsia" w:ascii="宋体" w:hAnsi="宋体"/>
          <w:bCs/>
          <w:szCs w:val="21"/>
          <w:highlight w:val="none"/>
          <w:lang w:val="zh-CN"/>
        </w:rPr>
        <w:t>必须在投标现场提供擦手纸实物样品两包、卷纸卫生纸实物样品两卷</w:t>
      </w:r>
      <w:r>
        <w:rPr>
          <w:rFonts w:hint="eastAsia" w:ascii="宋体" w:hAnsi="宋体"/>
          <w:b w:val="0"/>
          <w:bCs/>
          <w:szCs w:val="21"/>
          <w:highlight w:val="none"/>
          <w:lang w:val="zh-CN"/>
        </w:rPr>
        <w:t>。</w:t>
      </w:r>
      <w:r>
        <w:rPr>
          <w:rFonts w:hint="eastAsia" w:ascii="宋体" w:hAnsi="宋体"/>
          <w:b w:val="0"/>
          <w:bCs/>
          <w:szCs w:val="21"/>
          <w:highlight w:val="none"/>
          <w:lang w:val="en-US" w:eastAsia="zh-CN"/>
        </w:rPr>
        <w:t>成交供应商</w:t>
      </w:r>
      <w:r>
        <w:rPr>
          <w:rFonts w:hint="eastAsia" w:ascii="宋体" w:hAnsi="宋体"/>
          <w:b w:val="0"/>
          <w:bCs/>
          <w:szCs w:val="21"/>
          <w:highlight w:val="none"/>
          <w:lang w:val="zh-CN"/>
        </w:rPr>
        <w:t>的实物样品</w:t>
      </w:r>
      <w:r>
        <w:rPr>
          <w:rFonts w:hint="eastAsia" w:ascii="宋体" w:hAnsi="宋体"/>
          <w:b w:val="0"/>
          <w:bCs/>
          <w:szCs w:val="21"/>
          <w:highlight w:val="none"/>
          <w:lang w:val="en-US" w:eastAsia="zh-CN"/>
        </w:rPr>
        <w:t>留存</w:t>
      </w:r>
      <w:r>
        <w:rPr>
          <w:rFonts w:hint="eastAsia" w:ascii="宋体" w:hAnsi="宋体"/>
          <w:b w:val="0"/>
          <w:bCs/>
          <w:szCs w:val="21"/>
          <w:highlight w:val="none"/>
          <w:lang w:val="zh-CN"/>
        </w:rPr>
        <w:t>于采购人单位，作为</w:t>
      </w:r>
      <w:r>
        <w:rPr>
          <w:rFonts w:hint="eastAsia" w:ascii="宋体" w:hAnsi="宋体"/>
          <w:b w:val="0"/>
          <w:bCs/>
          <w:szCs w:val="21"/>
          <w:highlight w:val="none"/>
          <w:lang w:val="en-US" w:eastAsia="zh-CN"/>
        </w:rPr>
        <w:t>成交供应商</w:t>
      </w:r>
      <w:r>
        <w:rPr>
          <w:rFonts w:hint="eastAsia" w:ascii="宋体" w:hAnsi="宋体"/>
          <w:b w:val="0"/>
          <w:bCs/>
          <w:szCs w:val="21"/>
          <w:highlight w:val="none"/>
          <w:lang w:val="zh-CN"/>
        </w:rPr>
        <w:t>供货验收依据。</w:t>
      </w:r>
    </w:p>
    <w:p>
      <w:pPr>
        <w:widowControl w:val="0"/>
        <w:numPr>
          <w:ilvl w:val="0"/>
          <w:numId w:val="9"/>
        </w:numPr>
        <w:spacing w:line="360" w:lineRule="auto"/>
        <w:jc w:val="both"/>
        <w:rPr>
          <w:rFonts w:ascii="宋体" w:hAnsi="宋体" w:cs="宋体"/>
          <w:b w:val="0"/>
          <w:bCs/>
          <w:szCs w:val="21"/>
          <w:highlight w:val="none"/>
        </w:rPr>
      </w:pPr>
      <w:r>
        <w:rPr>
          <w:rFonts w:hint="eastAsia" w:ascii="宋体" w:hAnsi="宋体" w:cs="宋体"/>
          <w:b w:val="0"/>
          <w:bCs/>
          <w:szCs w:val="21"/>
          <w:highlight w:val="none"/>
        </w:rPr>
        <w:t>★货物是未启封全新包装，其质量、规格满足用户需求，各项技术指标完全符合国家行业生产标准、国家有关质量检测标准及产品出厂标准。</w:t>
      </w:r>
    </w:p>
    <w:p>
      <w:pPr>
        <w:widowControl w:val="0"/>
        <w:numPr>
          <w:ilvl w:val="0"/>
          <w:numId w:val="9"/>
        </w:numPr>
        <w:spacing w:line="360" w:lineRule="auto"/>
        <w:jc w:val="both"/>
        <w:rPr>
          <w:rFonts w:ascii="宋体" w:hAnsi="宋体" w:cs="宋体"/>
          <w:szCs w:val="21"/>
          <w:highlight w:val="none"/>
        </w:rPr>
      </w:pPr>
      <w:r>
        <w:rPr>
          <w:rFonts w:hint="eastAsia" w:ascii="宋体" w:hAnsi="宋体" w:cs="宋体"/>
          <w:szCs w:val="21"/>
          <w:highlight w:val="none"/>
        </w:rPr>
        <w:t>能提供相应批次的出厂合格证，且无任何的侵权行为。</w:t>
      </w:r>
    </w:p>
    <w:p>
      <w:pPr>
        <w:pStyle w:val="22"/>
        <w:numPr>
          <w:ilvl w:val="0"/>
          <w:numId w:val="6"/>
        </w:numPr>
        <w:spacing w:line="360" w:lineRule="auto"/>
        <w:ind w:firstLineChars="0"/>
        <w:rPr>
          <w:rFonts w:ascii="宋体" w:hAnsi="宋体"/>
          <w:b/>
          <w:bCs/>
          <w:sz w:val="28"/>
          <w:szCs w:val="28"/>
          <w:highlight w:val="none"/>
        </w:rPr>
      </w:pPr>
      <w:r>
        <w:rPr>
          <w:rFonts w:hint="eastAsia" w:ascii="宋体" w:hAnsi="宋体"/>
          <w:b/>
          <w:bCs/>
          <w:sz w:val="28"/>
          <w:szCs w:val="28"/>
          <w:highlight w:val="none"/>
        </w:rPr>
        <w:t>包装、装卸、运输、保管及保险</w:t>
      </w:r>
    </w:p>
    <w:p>
      <w:pPr>
        <w:widowControl w:val="0"/>
        <w:numPr>
          <w:ilvl w:val="0"/>
          <w:numId w:val="10"/>
        </w:numPr>
        <w:spacing w:line="360" w:lineRule="auto"/>
        <w:jc w:val="both"/>
        <w:rPr>
          <w:rFonts w:ascii="宋体" w:hAnsi="宋体" w:cs="宋体"/>
          <w:szCs w:val="21"/>
          <w:highlight w:val="none"/>
        </w:rPr>
      </w:pPr>
      <w:r>
        <w:rPr>
          <w:rFonts w:hint="eastAsia" w:ascii="宋体" w:hAnsi="宋体" w:cs="宋体"/>
          <w:szCs w:val="21"/>
          <w:highlight w:val="none"/>
        </w:rPr>
        <w:t>成交供应商所供货物包装质量必须符合国家相关标准，货物的包装均应有良好的防锈、防腐的措施，货物要求有包装保护运至现场。凡由于包装不良造成的损失和由此产生的费用均由成交供应商承担。</w:t>
      </w:r>
    </w:p>
    <w:p>
      <w:pPr>
        <w:widowControl w:val="0"/>
        <w:numPr>
          <w:ilvl w:val="0"/>
          <w:numId w:val="10"/>
        </w:numPr>
        <w:spacing w:line="360" w:lineRule="auto"/>
        <w:jc w:val="both"/>
        <w:rPr>
          <w:rFonts w:ascii="宋体" w:hAnsi="宋体" w:cs="宋体"/>
          <w:szCs w:val="21"/>
          <w:highlight w:val="none"/>
        </w:rPr>
      </w:pPr>
      <w:r>
        <w:rPr>
          <w:rFonts w:hint="eastAsia" w:ascii="宋体" w:hAnsi="宋体" w:cs="宋体"/>
          <w:szCs w:val="21"/>
          <w:highlight w:val="none"/>
        </w:rPr>
        <w:t>成交供应商负责根据用户指定的地点，将货物送到现场过程中的全部运输，包括装卸车、货物现场的搬运，由此产生的费用均由成交供应商承担。</w:t>
      </w:r>
    </w:p>
    <w:p>
      <w:pPr>
        <w:widowControl w:val="0"/>
        <w:numPr>
          <w:ilvl w:val="0"/>
          <w:numId w:val="10"/>
        </w:numPr>
        <w:spacing w:line="360" w:lineRule="auto"/>
        <w:jc w:val="both"/>
        <w:rPr>
          <w:rFonts w:ascii="宋体" w:hAnsi="宋体" w:cs="宋体"/>
          <w:szCs w:val="21"/>
          <w:highlight w:val="none"/>
        </w:rPr>
      </w:pPr>
      <w:r>
        <w:rPr>
          <w:rFonts w:hint="eastAsia" w:ascii="宋体" w:hAnsi="宋体" w:cs="宋体"/>
          <w:szCs w:val="21"/>
          <w:highlight w:val="none"/>
        </w:rPr>
        <w:t>如货物运输过程中因事故造成货物短缺、损坏，成交供应商应及时安排换货，以保证合同货物及时交付，换货的相关费用由成交供应商承担。</w:t>
      </w:r>
    </w:p>
    <w:p>
      <w:pPr>
        <w:widowControl w:val="0"/>
        <w:numPr>
          <w:ilvl w:val="0"/>
          <w:numId w:val="10"/>
        </w:numPr>
        <w:spacing w:line="360" w:lineRule="auto"/>
        <w:jc w:val="both"/>
        <w:rPr>
          <w:rFonts w:ascii="宋体" w:hAnsi="宋体" w:cs="宋体"/>
          <w:szCs w:val="21"/>
          <w:highlight w:val="none"/>
        </w:rPr>
      </w:pPr>
      <w:r>
        <w:rPr>
          <w:rFonts w:hint="eastAsia" w:ascii="宋体" w:hAnsi="宋体" w:cs="宋体"/>
          <w:szCs w:val="21"/>
          <w:highlight w:val="none"/>
        </w:rPr>
        <w:t>货物的质量保险由成交供应商负责，成交供应商负责其派出的现场服务人员人身意外保险。</w:t>
      </w:r>
    </w:p>
    <w:p>
      <w:pPr>
        <w:pStyle w:val="22"/>
        <w:numPr>
          <w:ilvl w:val="0"/>
          <w:numId w:val="6"/>
        </w:numPr>
        <w:spacing w:line="360" w:lineRule="auto"/>
        <w:ind w:firstLineChars="0"/>
        <w:rPr>
          <w:rFonts w:ascii="宋体" w:hAnsi="宋体"/>
          <w:b/>
          <w:bCs/>
          <w:sz w:val="28"/>
          <w:szCs w:val="28"/>
          <w:highlight w:val="none"/>
        </w:rPr>
      </w:pPr>
      <w:r>
        <w:rPr>
          <w:rFonts w:hint="eastAsia" w:ascii="宋体" w:hAnsi="宋体"/>
          <w:b/>
          <w:bCs/>
          <w:sz w:val="28"/>
          <w:szCs w:val="28"/>
          <w:highlight w:val="none"/>
        </w:rPr>
        <w:t>验收</w:t>
      </w:r>
    </w:p>
    <w:p>
      <w:pPr>
        <w:widowControl w:val="0"/>
        <w:numPr>
          <w:ilvl w:val="0"/>
          <w:numId w:val="11"/>
        </w:numPr>
        <w:spacing w:line="360" w:lineRule="auto"/>
        <w:jc w:val="both"/>
        <w:rPr>
          <w:rFonts w:ascii="宋体" w:hAnsi="宋体" w:cs="宋体"/>
          <w:szCs w:val="21"/>
          <w:highlight w:val="none"/>
        </w:rPr>
      </w:pPr>
      <w:r>
        <w:rPr>
          <w:rFonts w:hint="eastAsia" w:ascii="宋体" w:hAnsi="宋体" w:cs="宋体"/>
          <w:szCs w:val="21"/>
          <w:highlight w:val="none"/>
        </w:rPr>
        <w:t>成交供应商将货物送货至采购人指定地点后，由采购人按照采购合同、相关招投文件要求进行核对，根据国家相关法律法规、质量标准，对货物的规格参数和质量进行验收。</w:t>
      </w:r>
    </w:p>
    <w:p>
      <w:pPr>
        <w:widowControl w:val="0"/>
        <w:numPr>
          <w:ilvl w:val="0"/>
          <w:numId w:val="11"/>
        </w:numPr>
        <w:spacing w:line="360" w:lineRule="auto"/>
        <w:jc w:val="both"/>
        <w:rPr>
          <w:rFonts w:ascii="宋体" w:hAnsi="宋体" w:cs="宋体"/>
          <w:szCs w:val="21"/>
          <w:highlight w:val="none"/>
        </w:rPr>
      </w:pPr>
      <w:r>
        <w:rPr>
          <w:rFonts w:hint="eastAsia" w:ascii="宋体" w:hAnsi="宋体" w:cs="宋体"/>
          <w:szCs w:val="21"/>
          <w:highlight w:val="none"/>
        </w:rPr>
        <w:t>货物在验收过程中发现所交付的货物有短缺、次品、损坏或其他不符合磋商文件、合同规定之情形者，采购人有权拒付该批货物的费用，并由成交供应商承担由此发生的一切费用和损失。</w:t>
      </w:r>
    </w:p>
    <w:p>
      <w:pPr>
        <w:widowControl w:val="0"/>
        <w:numPr>
          <w:ilvl w:val="0"/>
          <w:numId w:val="11"/>
        </w:numPr>
        <w:spacing w:line="360" w:lineRule="auto"/>
        <w:jc w:val="both"/>
        <w:rPr>
          <w:rFonts w:ascii="宋体" w:hAnsi="宋体" w:cs="宋体"/>
          <w:szCs w:val="21"/>
          <w:highlight w:val="none"/>
        </w:rPr>
      </w:pPr>
      <w:r>
        <w:rPr>
          <w:rFonts w:hint="eastAsia" w:ascii="宋体" w:hAnsi="宋体" w:cs="宋体"/>
          <w:szCs w:val="21"/>
          <w:highlight w:val="none"/>
        </w:rPr>
        <w:t>所有货物在使用过程中发现以次充好或使用假冒伪劣产品的，成交供应商除无条件更换货物外，采购人</w:t>
      </w:r>
      <w:r>
        <w:rPr>
          <w:rFonts w:hint="eastAsia" w:ascii="宋体" w:hAnsi="宋体" w:cs="宋体"/>
          <w:szCs w:val="21"/>
          <w:highlight w:val="none"/>
          <w:lang w:val="en-US" w:eastAsia="zh-CN"/>
        </w:rPr>
        <w:t>可</w:t>
      </w:r>
      <w:r>
        <w:rPr>
          <w:rFonts w:hint="eastAsia" w:ascii="宋体" w:hAnsi="宋体" w:cs="宋体"/>
          <w:szCs w:val="21"/>
          <w:highlight w:val="none"/>
        </w:rPr>
        <w:t>按成交货物价格*更换货物数量之总值的5倍金额</w:t>
      </w:r>
      <w:r>
        <w:rPr>
          <w:rFonts w:hint="eastAsia" w:ascii="宋体" w:hAnsi="宋体" w:cs="宋体"/>
          <w:szCs w:val="21"/>
          <w:highlight w:val="none"/>
          <w:lang w:val="en-US" w:eastAsia="zh-CN"/>
        </w:rPr>
        <w:t>进行扣罚</w:t>
      </w:r>
      <w:r>
        <w:rPr>
          <w:rFonts w:hint="eastAsia" w:ascii="宋体" w:hAnsi="宋体" w:cs="宋体"/>
          <w:szCs w:val="21"/>
          <w:highlight w:val="none"/>
        </w:rPr>
        <w:t>。此种情况超过</w:t>
      </w:r>
      <w:r>
        <w:rPr>
          <w:rFonts w:hint="eastAsia" w:ascii="宋体" w:hAnsi="宋体" w:cs="宋体"/>
          <w:szCs w:val="21"/>
          <w:highlight w:val="none"/>
          <w:lang w:val="en-US" w:eastAsia="zh-CN"/>
        </w:rPr>
        <w:t>2</w:t>
      </w:r>
      <w:r>
        <w:rPr>
          <w:rFonts w:hint="eastAsia" w:ascii="宋体" w:hAnsi="宋体" w:cs="宋体"/>
          <w:szCs w:val="21"/>
          <w:highlight w:val="none"/>
        </w:rPr>
        <w:t>次或以上的，采购人有权单方终止合同。</w:t>
      </w:r>
    </w:p>
    <w:p>
      <w:pPr>
        <w:widowControl w:val="0"/>
        <w:numPr>
          <w:ilvl w:val="0"/>
          <w:numId w:val="11"/>
        </w:numPr>
        <w:spacing w:line="360" w:lineRule="auto"/>
        <w:jc w:val="both"/>
        <w:rPr>
          <w:rFonts w:ascii="宋体" w:hAnsi="宋体" w:cs="宋体"/>
          <w:b w:val="0"/>
          <w:bCs/>
          <w:szCs w:val="21"/>
          <w:highlight w:val="none"/>
        </w:rPr>
      </w:pPr>
      <w:r>
        <w:rPr>
          <w:rFonts w:hint="eastAsia" w:ascii="宋体" w:hAnsi="宋体" w:cs="宋体"/>
          <w:b w:val="0"/>
          <w:bCs/>
          <w:szCs w:val="21"/>
          <w:highlight w:val="none"/>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widowControl w:val="0"/>
        <w:numPr>
          <w:ilvl w:val="0"/>
          <w:numId w:val="11"/>
        </w:numPr>
        <w:spacing w:line="360" w:lineRule="auto"/>
        <w:jc w:val="both"/>
        <w:rPr>
          <w:rFonts w:ascii="宋体" w:hAnsi="宋体" w:cs="宋体"/>
          <w:szCs w:val="21"/>
          <w:highlight w:val="none"/>
        </w:rPr>
      </w:pPr>
      <w:r>
        <w:rPr>
          <w:rFonts w:hint="eastAsia" w:ascii="宋体" w:hAnsi="宋体" w:cs="宋体"/>
          <w:szCs w:val="21"/>
          <w:highlight w:val="none"/>
        </w:rPr>
        <w:t>若成交供应商提供的产品发生知识产权纠纷的，由成交供应商执行处置与原知识产权所有者协商解决，采购人不承担与之相关的任何经济和法律责任。</w:t>
      </w:r>
    </w:p>
    <w:p>
      <w:pPr>
        <w:pStyle w:val="22"/>
        <w:numPr>
          <w:ilvl w:val="0"/>
          <w:numId w:val="6"/>
        </w:numPr>
        <w:spacing w:line="360" w:lineRule="auto"/>
        <w:ind w:firstLineChars="0"/>
        <w:rPr>
          <w:rFonts w:ascii="宋体" w:hAnsi="宋体"/>
          <w:b/>
          <w:bCs/>
          <w:sz w:val="28"/>
          <w:szCs w:val="28"/>
          <w:highlight w:val="none"/>
        </w:rPr>
      </w:pPr>
      <w:r>
        <w:rPr>
          <w:rFonts w:hint="eastAsia" w:ascii="宋体" w:hAnsi="宋体"/>
          <w:b/>
          <w:bCs/>
          <w:sz w:val="28"/>
          <w:szCs w:val="28"/>
          <w:highlight w:val="none"/>
        </w:rPr>
        <w:t>响应报价要求</w:t>
      </w:r>
    </w:p>
    <w:p>
      <w:pPr>
        <w:spacing w:line="360" w:lineRule="auto"/>
        <w:rPr>
          <w:rFonts w:ascii="宋体" w:hAnsi="宋体" w:cs="宋体"/>
          <w:szCs w:val="21"/>
          <w:highlight w:val="none"/>
        </w:rPr>
      </w:pPr>
      <w:r>
        <w:rPr>
          <w:rFonts w:hint="eastAsia" w:ascii="宋体" w:hAnsi="宋体" w:cs="宋体"/>
          <w:szCs w:val="21"/>
          <w:highlight w:val="none"/>
        </w:rPr>
        <w:t>1． 供应商对采购物品的单</w:t>
      </w:r>
      <w:r>
        <w:rPr>
          <w:rFonts w:hint="eastAsia" w:ascii="宋体" w:hAnsi="宋体" w:cs="宋体"/>
          <w:b w:val="0"/>
          <w:bCs w:val="0"/>
          <w:szCs w:val="21"/>
          <w:highlight w:val="none"/>
        </w:rPr>
        <w:t>价报出统一的投标</w:t>
      </w:r>
      <w:r>
        <w:rPr>
          <w:rFonts w:hint="eastAsia" w:ascii="宋体" w:hAnsi="宋体" w:cs="宋体"/>
          <w:szCs w:val="21"/>
          <w:highlight w:val="none"/>
        </w:rPr>
        <w:t>下浮率，下浮率在0%（含本数）-100%（含本数）范围内取值，若报价超出此范围则投标无效。</w:t>
      </w:r>
    </w:p>
    <w:p>
      <w:pPr>
        <w:spacing w:line="360" w:lineRule="auto"/>
        <w:rPr>
          <w:rFonts w:ascii="宋体" w:hAnsi="宋体" w:cs="宋体"/>
          <w:szCs w:val="21"/>
          <w:highlight w:val="none"/>
        </w:rPr>
      </w:pPr>
      <w:r>
        <w:rPr>
          <w:rFonts w:hint="eastAsia" w:ascii="宋体" w:hAnsi="宋体" w:cs="宋体"/>
          <w:szCs w:val="21"/>
          <w:highlight w:val="none"/>
        </w:rPr>
        <w:t>2． 供应商报价应为人民币含税全包价，包</w:t>
      </w:r>
      <w:r>
        <w:rPr>
          <w:rFonts w:hint="eastAsia" w:ascii="宋体" w:hAnsi="宋体" w:cs="宋体"/>
          <w:color w:val="auto"/>
          <w:szCs w:val="21"/>
          <w:highlight w:val="none"/>
        </w:rPr>
        <w:t>括货物、</w:t>
      </w:r>
      <w:r>
        <w:rPr>
          <w:rFonts w:hint="eastAsia" w:ascii="宋体" w:hAnsi="宋体" w:cs="宋体"/>
          <w:color w:val="auto"/>
          <w:highlight w:val="none"/>
        </w:rPr>
        <w:t>人工费、</w:t>
      </w:r>
      <w:r>
        <w:rPr>
          <w:rFonts w:hint="eastAsia" w:ascii="宋体" w:hAnsi="宋体" w:cs="宋体"/>
          <w:szCs w:val="21"/>
          <w:highlight w:val="none"/>
        </w:rPr>
        <w:t>价格、包装费、运杂费、保险费、卸车费、配合费、检测费、配送费、税金及供应商认为需要的所有费用，采购人不再单独支付其他费用。</w:t>
      </w:r>
    </w:p>
    <w:p>
      <w:pPr>
        <w:spacing w:line="360" w:lineRule="auto"/>
        <w:rPr>
          <w:rFonts w:ascii="宋体" w:hAnsi="宋体" w:cs="宋体"/>
          <w:b w:val="0"/>
          <w:bCs/>
          <w:color w:val="auto"/>
          <w:szCs w:val="21"/>
          <w:highlight w:val="none"/>
        </w:rPr>
      </w:pPr>
      <w:r>
        <w:rPr>
          <w:rFonts w:hint="eastAsia" w:ascii="宋体" w:hAnsi="宋体" w:cs="宋体"/>
          <w:b w:val="0"/>
          <w:bCs/>
          <w:color w:val="auto"/>
          <w:szCs w:val="21"/>
          <w:highlight w:val="none"/>
        </w:rPr>
        <w:t>★3．协议供货期间的价格：各类货物实际供货价=</w:t>
      </w:r>
      <w:r>
        <w:rPr>
          <w:rFonts w:ascii="宋体" w:hAnsi="宋体" w:cs="宋体"/>
          <w:b w:val="0"/>
          <w:bCs/>
          <w:color w:val="auto"/>
          <w:szCs w:val="21"/>
          <w:highlight w:val="none"/>
        </w:rPr>
        <w:t>最高</w:t>
      </w:r>
      <w:r>
        <w:rPr>
          <w:rFonts w:hint="eastAsia" w:ascii="宋体" w:hAnsi="宋体" w:cs="宋体"/>
          <w:b w:val="0"/>
          <w:bCs/>
          <w:color w:val="auto"/>
          <w:szCs w:val="21"/>
          <w:highlight w:val="none"/>
        </w:rPr>
        <w:t>单价</w:t>
      </w:r>
      <w:r>
        <w:rPr>
          <w:rFonts w:ascii="宋体" w:hAnsi="宋体" w:cs="宋体"/>
          <w:b w:val="0"/>
          <w:bCs/>
          <w:color w:val="auto"/>
          <w:szCs w:val="21"/>
          <w:highlight w:val="none"/>
        </w:rPr>
        <w:t>限价</w:t>
      </w:r>
      <w:r>
        <w:rPr>
          <w:rFonts w:hint="eastAsia" w:ascii="宋体" w:hAnsi="宋体" w:cs="宋体"/>
          <w:b w:val="0"/>
          <w:bCs/>
          <w:color w:val="auto"/>
          <w:szCs w:val="21"/>
          <w:highlight w:val="none"/>
        </w:rPr>
        <w:t>×（1-投标下浮率）。成交价即是合同期间的最终价格，在合同期内，价格不再随着市场同类商品市场价格的调整而进行调整。</w:t>
      </w:r>
    </w:p>
    <w:p>
      <w:pPr>
        <w:spacing w:line="360" w:lineRule="auto"/>
        <w:rPr>
          <w:rFonts w:ascii="宋体" w:hAnsi="宋体" w:cs="宋体"/>
          <w:b/>
          <w:bCs/>
          <w:szCs w:val="21"/>
          <w:highlight w:val="none"/>
        </w:rPr>
      </w:pPr>
      <w:r>
        <w:rPr>
          <w:rFonts w:hint="eastAsia" w:ascii="宋体" w:hAnsi="宋体" w:cs="宋体"/>
          <w:strike/>
          <w:szCs w:val="21"/>
          <w:highlight w:val="none"/>
        </w:rPr>
        <w:t>4</w:t>
      </w:r>
      <w:r>
        <w:rPr>
          <w:rFonts w:hint="eastAsia" w:ascii="宋体" w:hAnsi="宋体" w:cs="宋体"/>
          <w:szCs w:val="21"/>
          <w:highlight w:val="none"/>
        </w:rPr>
        <w:t>．缺项、漏项的报价为无效报价。</w:t>
      </w:r>
    </w:p>
    <w:p>
      <w:pPr>
        <w:pStyle w:val="22"/>
        <w:numPr>
          <w:ilvl w:val="0"/>
          <w:numId w:val="6"/>
        </w:numPr>
        <w:spacing w:line="360" w:lineRule="auto"/>
        <w:ind w:firstLineChars="0"/>
        <w:rPr>
          <w:rFonts w:ascii="宋体" w:hAnsi="宋体"/>
          <w:b/>
          <w:bCs/>
          <w:sz w:val="28"/>
          <w:szCs w:val="28"/>
          <w:highlight w:val="none"/>
        </w:rPr>
      </w:pPr>
      <w:r>
        <w:rPr>
          <w:rFonts w:hint="eastAsia" w:ascii="宋体" w:hAnsi="宋体"/>
          <w:b/>
          <w:bCs/>
          <w:sz w:val="28"/>
          <w:szCs w:val="28"/>
          <w:highlight w:val="none"/>
        </w:rPr>
        <w:t>质保期及售后供货要求</w:t>
      </w:r>
    </w:p>
    <w:p>
      <w:pPr>
        <w:widowControl w:val="0"/>
        <w:numPr>
          <w:ilvl w:val="0"/>
          <w:numId w:val="12"/>
        </w:numPr>
        <w:spacing w:line="360" w:lineRule="auto"/>
        <w:jc w:val="both"/>
        <w:rPr>
          <w:rFonts w:ascii="宋体" w:hAnsi="宋体" w:cs="宋体"/>
          <w:b w:val="0"/>
          <w:bCs/>
          <w:szCs w:val="21"/>
          <w:highlight w:val="none"/>
        </w:rPr>
      </w:pPr>
      <w:r>
        <w:rPr>
          <w:rFonts w:hint="eastAsia" w:ascii="宋体" w:hAnsi="宋体" w:cs="宋体"/>
          <w:b w:val="0"/>
          <w:bCs/>
          <w:szCs w:val="21"/>
          <w:highlight w:val="none"/>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工作日内，由此产生的一切费用由成交供应商承担，如造成采购人经济损失的，采购人有权进行索赔。</w:t>
      </w:r>
    </w:p>
    <w:p>
      <w:pPr>
        <w:widowControl w:val="0"/>
        <w:numPr>
          <w:ilvl w:val="0"/>
          <w:numId w:val="12"/>
        </w:numPr>
        <w:spacing w:line="360" w:lineRule="auto"/>
        <w:jc w:val="both"/>
        <w:rPr>
          <w:rFonts w:ascii="宋体" w:hAnsi="宋体" w:cs="宋体"/>
          <w:b w:val="0"/>
          <w:bCs/>
          <w:szCs w:val="21"/>
          <w:highlight w:val="none"/>
        </w:rPr>
      </w:pPr>
      <w:r>
        <w:rPr>
          <w:rFonts w:hint="eastAsia" w:ascii="宋体" w:hAnsi="宋体" w:cs="宋体"/>
          <w:b w:val="0"/>
          <w:bCs/>
          <w:szCs w:val="21"/>
          <w:highlight w:val="none"/>
        </w:rPr>
        <w:t>质保期内，成交供应商提供24小时响应服务，到达现场时间为2小时，解决问题的时限为到达现场后4小时内。若在到场后4小时内仍未能有效解决，成交供应商须免费提供等同或优于原参数的产品供采购人使用,否则采购人有权</w:t>
      </w:r>
      <w:r>
        <w:rPr>
          <w:rFonts w:hint="eastAsia" w:ascii="宋体" w:hAnsi="宋体" w:cs="宋体"/>
          <w:b w:val="0"/>
          <w:bCs/>
          <w:szCs w:val="21"/>
          <w:highlight w:val="none"/>
          <w:lang w:val="en-US" w:eastAsia="zh-CN"/>
        </w:rPr>
        <w:t>另行</w:t>
      </w:r>
      <w:r>
        <w:rPr>
          <w:rFonts w:hint="eastAsia" w:ascii="宋体" w:hAnsi="宋体" w:cs="宋体"/>
          <w:b w:val="0"/>
          <w:bCs/>
          <w:szCs w:val="21"/>
          <w:highlight w:val="none"/>
        </w:rPr>
        <w:t>自行采购</w:t>
      </w:r>
      <w:r>
        <w:rPr>
          <w:rFonts w:hint="eastAsia" w:ascii="宋体" w:hAnsi="宋体" w:cs="宋体"/>
          <w:b w:val="0"/>
          <w:bCs/>
          <w:szCs w:val="21"/>
          <w:highlight w:val="none"/>
          <w:lang w:val="en-US" w:eastAsia="zh-CN"/>
        </w:rPr>
        <w:t>以保证正常使用</w:t>
      </w:r>
      <w:r>
        <w:rPr>
          <w:rFonts w:hint="eastAsia" w:ascii="宋体" w:hAnsi="宋体" w:cs="宋体"/>
          <w:b w:val="0"/>
          <w:bCs/>
          <w:szCs w:val="21"/>
          <w:highlight w:val="none"/>
        </w:rPr>
        <w:t>，所产生的费用由成交供应商承担。如因此造成采购人损失的，由成交供应商承担赔偿责任。</w:t>
      </w:r>
    </w:p>
    <w:p>
      <w:pPr>
        <w:widowControl w:val="0"/>
        <w:numPr>
          <w:ilvl w:val="0"/>
          <w:numId w:val="12"/>
        </w:numPr>
        <w:spacing w:line="360" w:lineRule="auto"/>
        <w:jc w:val="both"/>
        <w:rPr>
          <w:rFonts w:ascii="宋体" w:hAnsi="宋体" w:cs="宋体"/>
          <w:b w:val="0"/>
          <w:bCs/>
          <w:szCs w:val="21"/>
          <w:highlight w:val="none"/>
        </w:rPr>
      </w:pPr>
      <w:r>
        <w:rPr>
          <w:rFonts w:hint="eastAsia" w:ascii="宋体" w:hAnsi="宋体" w:cs="宋体"/>
          <w:b w:val="0"/>
          <w:bCs/>
          <w:szCs w:val="21"/>
          <w:highlight w:val="none"/>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pStyle w:val="22"/>
        <w:numPr>
          <w:ilvl w:val="0"/>
          <w:numId w:val="6"/>
        </w:numPr>
        <w:spacing w:line="360" w:lineRule="auto"/>
        <w:ind w:firstLineChars="0"/>
        <w:rPr>
          <w:rFonts w:ascii="宋体" w:hAnsi="宋体"/>
          <w:b/>
          <w:bCs w:val="0"/>
          <w:sz w:val="28"/>
          <w:szCs w:val="28"/>
          <w:highlight w:val="none"/>
        </w:rPr>
      </w:pPr>
      <w:r>
        <w:rPr>
          <w:rFonts w:hint="eastAsia" w:ascii="宋体" w:hAnsi="宋体"/>
          <w:b/>
          <w:bCs w:val="0"/>
          <w:sz w:val="28"/>
          <w:szCs w:val="28"/>
          <w:highlight w:val="none"/>
        </w:rPr>
        <w:t>付款办法</w:t>
      </w:r>
    </w:p>
    <w:p>
      <w:pPr>
        <w:widowControl/>
        <w:numPr>
          <w:ilvl w:val="-1"/>
          <w:numId w:val="0"/>
        </w:numPr>
        <w:tabs>
          <w:tab w:val="left" w:pos="848"/>
        </w:tabs>
        <w:spacing w:line="360" w:lineRule="auto"/>
        <w:ind w:firstLine="210" w:firstLineChars="100"/>
        <w:jc w:val="left"/>
        <w:rPr>
          <w:rFonts w:ascii="宋体" w:hAnsi="宋体" w:cs="宋体"/>
          <w:b w:val="0"/>
          <w:bCs/>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成交供应商</w:t>
      </w:r>
      <w:r>
        <w:rPr>
          <w:rFonts w:hint="eastAsia" w:ascii="宋体" w:hAnsi="宋体" w:eastAsia="宋体" w:cs="宋体"/>
          <w:b w:val="0"/>
          <w:bCs/>
          <w:color w:val="auto"/>
          <w:sz w:val="21"/>
          <w:szCs w:val="21"/>
          <w:highlight w:val="none"/>
        </w:rPr>
        <w:t>与采购人签署合同后需交</w:t>
      </w:r>
      <w:r>
        <w:rPr>
          <w:rFonts w:hint="eastAsia" w:ascii="宋体" w:hAnsi="宋体" w:cs="宋体"/>
          <w:b w:val="0"/>
          <w:bCs/>
          <w:color w:val="auto"/>
          <w:sz w:val="21"/>
          <w:szCs w:val="21"/>
          <w:highlight w:val="none"/>
          <w:lang w:val="en-US" w:eastAsia="zh-CN"/>
        </w:rPr>
        <w:t>预算总额</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u w:val="single"/>
        </w:rPr>
        <w:t xml:space="preserve"> 5% </w:t>
      </w:r>
      <w:r>
        <w:rPr>
          <w:rFonts w:hint="eastAsia" w:ascii="宋体" w:hAnsi="宋体" w:eastAsia="宋体" w:cs="宋体"/>
          <w:b w:val="0"/>
          <w:bCs/>
          <w:color w:val="auto"/>
          <w:sz w:val="21"/>
          <w:szCs w:val="21"/>
          <w:highlight w:val="none"/>
        </w:rPr>
        <w:t>作为履约保证金。通过银行转账的方式达成</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履约保证金的退还为最后一批送货验收合格后一个月内一次性退还。如有违约事项，采购人根据约定条款扣款，剩余款项予以无息退还余款。</w:t>
      </w:r>
    </w:p>
    <w:p>
      <w:pPr>
        <w:widowControl w:val="0"/>
        <w:numPr>
          <w:ilvl w:val="0"/>
          <w:numId w:val="13"/>
        </w:numPr>
        <w:spacing w:line="360" w:lineRule="auto"/>
        <w:jc w:val="both"/>
        <w:rPr>
          <w:rFonts w:ascii="宋体" w:hAnsi="宋体" w:cs="宋体"/>
          <w:b w:val="0"/>
          <w:bCs/>
          <w:szCs w:val="21"/>
          <w:highlight w:val="none"/>
        </w:rPr>
      </w:pPr>
      <w:r>
        <w:rPr>
          <w:rFonts w:hint="eastAsia" w:ascii="宋体" w:hAnsi="宋体" w:cs="宋体"/>
          <w:b w:val="0"/>
          <w:bCs/>
          <w:szCs w:val="21"/>
          <w:highlight w:val="none"/>
        </w:rPr>
        <w:t>合同签订后，供货期内采购人可按照实际使用需要分批次要求成交供应商供货。合同无预付款，每批次订货无预付款。</w:t>
      </w:r>
    </w:p>
    <w:p>
      <w:pPr>
        <w:widowControl w:val="0"/>
        <w:numPr>
          <w:ilvl w:val="0"/>
          <w:numId w:val="13"/>
        </w:numPr>
        <w:spacing w:line="360" w:lineRule="auto"/>
        <w:jc w:val="both"/>
        <w:rPr>
          <w:rFonts w:ascii="宋体" w:hAnsi="宋体" w:cs="宋体"/>
          <w:b w:val="0"/>
          <w:bCs/>
          <w:szCs w:val="21"/>
          <w:highlight w:val="none"/>
        </w:rPr>
      </w:pPr>
      <w:r>
        <w:rPr>
          <w:rFonts w:hint="eastAsia" w:ascii="宋体" w:hAnsi="宋体" w:cs="宋体"/>
          <w:b w:val="0"/>
          <w:bCs/>
          <w:szCs w:val="21"/>
          <w:highlight w:val="none"/>
        </w:rPr>
        <w:t>按月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pStyle w:val="22"/>
        <w:numPr>
          <w:ilvl w:val="0"/>
          <w:numId w:val="13"/>
        </w:numPr>
        <w:spacing w:line="360" w:lineRule="auto"/>
        <w:ind w:firstLineChars="0"/>
        <w:rPr>
          <w:rFonts w:ascii="宋体" w:hAnsi="宋体"/>
          <w:b w:val="0"/>
          <w:bCs/>
          <w:szCs w:val="21"/>
          <w:highlight w:val="none"/>
        </w:rPr>
      </w:pPr>
      <w:r>
        <w:rPr>
          <w:rFonts w:hint="eastAsia" w:ascii="宋体" w:hAnsi="宋体" w:cs="宋体"/>
          <w:b w:val="0"/>
          <w:bCs/>
          <w:szCs w:val="21"/>
          <w:highlight w:val="none"/>
        </w:rPr>
        <w:t>成交供应商须开具与响应文件中供应商名称一致的发票。</w:t>
      </w:r>
      <w:r>
        <w:rPr>
          <w:rFonts w:ascii="宋体" w:hAnsi="宋体"/>
          <w:b w:val="0"/>
          <w:bCs/>
          <w:szCs w:val="21"/>
          <w:highlight w:val="none"/>
        </w:rPr>
        <w:tab/>
      </w:r>
    </w:p>
    <w:p>
      <w:pPr>
        <w:pStyle w:val="22"/>
        <w:numPr>
          <w:ilvl w:val="0"/>
          <w:numId w:val="6"/>
        </w:numPr>
        <w:spacing w:line="360" w:lineRule="auto"/>
        <w:ind w:firstLineChars="0"/>
        <w:rPr>
          <w:rFonts w:hint="eastAsia" w:ascii="宋体" w:hAnsi="宋体"/>
          <w:b/>
          <w:bCs w:val="0"/>
          <w:sz w:val="28"/>
          <w:szCs w:val="28"/>
          <w:highlight w:val="none"/>
        </w:rPr>
      </w:pPr>
      <w:r>
        <w:rPr>
          <w:rFonts w:hint="eastAsia" w:ascii="宋体" w:hAnsi="宋体"/>
          <w:b/>
          <w:bCs w:val="0"/>
          <w:sz w:val="28"/>
          <w:szCs w:val="28"/>
          <w:highlight w:val="none"/>
        </w:rPr>
        <w:t>采购人配合条件</w:t>
      </w:r>
    </w:p>
    <w:p>
      <w:pPr>
        <w:numPr>
          <w:ilvl w:val="0"/>
          <w:numId w:val="14"/>
        </w:numPr>
        <w:spacing w:line="360" w:lineRule="auto"/>
        <w:ind w:left="428"/>
        <w:rPr>
          <w:rFonts w:hint="eastAsia" w:ascii="宋体" w:hAnsi="宋体"/>
          <w:b w:val="0"/>
          <w:bCs/>
          <w:szCs w:val="21"/>
          <w:highlight w:val="none"/>
          <w:lang w:val="zh-CN"/>
        </w:rPr>
      </w:pPr>
      <w:r>
        <w:rPr>
          <w:rFonts w:hint="eastAsia" w:ascii="宋体" w:hAnsi="宋体"/>
          <w:b w:val="0"/>
          <w:bCs/>
          <w:szCs w:val="21"/>
          <w:highlight w:val="none"/>
        </w:rPr>
        <w:t>供应商</w:t>
      </w:r>
      <w:r>
        <w:rPr>
          <w:rFonts w:hint="eastAsia" w:ascii="宋体" w:hAnsi="宋体"/>
          <w:b w:val="0"/>
          <w:bCs/>
          <w:szCs w:val="21"/>
          <w:highlight w:val="none"/>
          <w:lang w:val="zh-CN"/>
        </w:rPr>
        <w:t>在</w:t>
      </w:r>
      <w:r>
        <w:rPr>
          <w:rFonts w:hint="eastAsia" w:ascii="宋体" w:hAnsi="宋体"/>
          <w:b w:val="0"/>
          <w:bCs/>
          <w:szCs w:val="21"/>
          <w:highlight w:val="none"/>
        </w:rPr>
        <w:t>响应</w:t>
      </w:r>
      <w:r>
        <w:rPr>
          <w:rFonts w:hint="eastAsia" w:ascii="宋体" w:hAnsi="宋体"/>
          <w:b w:val="0"/>
          <w:bCs/>
          <w:szCs w:val="21"/>
          <w:highlight w:val="none"/>
          <w:lang w:val="zh-CN"/>
        </w:rPr>
        <w:t>文件中要列明在项目实施过程中要求采购人提供的配合条件。</w:t>
      </w: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rPr>
      </w:pPr>
    </w:p>
    <w:p>
      <w:pPr>
        <w:pStyle w:val="6"/>
        <w:rPr>
          <w:rFonts w:hint="eastAsia" w:ascii="宋体" w:hAnsi="宋体" w:cs="宋体"/>
          <w:bCs/>
          <w:szCs w:val="21"/>
        </w:rPr>
      </w:pPr>
    </w:p>
    <w:p>
      <w:pPr>
        <w:rPr>
          <w:rFonts w:hint="eastAsia" w:ascii="宋体" w:hAnsi="宋体" w:cs="宋体"/>
          <w:bCs/>
          <w:szCs w:val="21"/>
        </w:rPr>
      </w:pPr>
    </w:p>
    <w:p>
      <w:pPr>
        <w:pStyle w:val="2"/>
      </w:pPr>
    </w:p>
    <w:p>
      <w:pPr>
        <w:pStyle w:val="19"/>
        <w:ind w:firstLine="0" w:firstLineChars="0"/>
      </w:pPr>
    </w:p>
    <w:p>
      <w:pPr>
        <w:pStyle w:val="2"/>
        <w:rPr>
          <w:rFonts w:hint="eastAsia" w:ascii="宋体" w:hAnsi="宋体" w:eastAsia="宋体" w:cs="宋体"/>
          <w:sz w:val="44"/>
          <w:szCs w:val="44"/>
          <w:lang w:val="en-US" w:eastAsia="zh-CN"/>
        </w:rPr>
      </w:pPr>
    </w:p>
    <w:p>
      <w:pPr>
        <w:pStyle w:val="6"/>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6"/>
        <w:rPr>
          <w:rFonts w:hint="eastAsia"/>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3"/>
        <w:numPr>
          <w:ilvl w:val="0"/>
          <w:numId w:val="1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tabs>
          <w:tab w:val="left" w:pos="540"/>
          <w:tab w:val="left" w:pos="780"/>
        </w:tabs>
        <w:spacing w:line="360" w:lineRule="auto"/>
        <w:ind w:firstLine="836" w:firstLineChars="347"/>
        <w:jc w:val="center"/>
        <w:rPr>
          <w:rFonts w:ascii="宋体" w:hAnsi="宋体"/>
          <w:sz w:val="24"/>
          <w:highlight w:val="none"/>
        </w:rPr>
      </w:pPr>
      <w:r>
        <w:rPr>
          <w:rFonts w:hint="eastAsia" w:ascii="宋体" w:hAnsi="宋体"/>
          <w:b/>
          <w:sz w:val="24"/>
          <w:highlight w:val="none"/>
          <w:lang w:val="en-US" w:eastAsia="zh-CN"/>
        </w:rPr>
        <w:t>样品</w:t>
      </w:r>
      <w:r>
        <w:rPr>
          <w:rFonts w:hint="eastAsia" w:ascii="宋体" w:hAnsi="宋体"/>
          <w:b/>
          <w:sz w:val="24"/>
          <w:highlight w:val="none"/>
        </w:rPr>
        <w:t>评分</w:t>
      </w:r>
      <w:r>
        <w:rPr>
          <w:rFonts w:hint="eastAsia" w:ascii="宋体" w:hAnsi="宋体"/>
          <w:b/>
          <w:sz w:val="24"/>
          <w:highlight w:val="none"/>
          <w:lang w:val="en-US" w:eastAsia="zh-CN"/>
        </w:rPr>
        <w:t>表</w:t>
      </w:r>
    </w:p>
    <w:tbl>
      <w:tblPr>
        <w:tblStyle w:val="14"/>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70"/>
        <w:gridCol w:w="1515"/>
        <w:gridCol w:w="1410"/>
        <w:gridCol w:w="1502"/>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26" w:type="dxa"/>
            <w:vAlign w:val="center"/>
          </w:tcPr>
          <w:p>
            <w:pPr>
              <w:widowControl/>
              <w:jc w:val="center"/>
              <w:rPr>
                <w:rFonts w:ascii="宋体" w:hAnsi="宋体"/>
                <w:b/>
                <w:kern w:val="0"/>
                <w:szCs w:val="21"/>
                <w:highlight w:val="none"/>
              </w:rPr>
            </w:pPr>
            <w:r>
              <w:rPr>
                <w:rFonts w:hint="eastAsia" w:ascii="宋体" w:hAnsi="宋体"/>
                <w:b/>
                <w:kern w:val="0"/>
                <w:szCs w:val="21"/>
                <w:highlight w:val="none"/>
              </w:rPr>
              <w:t>评分项目</w:t>
            </w:r>
          </w:p>
        </w:tc>
        <w:tc>
          <w:tcPr>
            <w:tcW w:w="1770" w:type="dxa"/>
            <w:vAlign w:val="center"/>
          </w:tcPr>
          <w:p>
            <w:pPr>
              <w:widowControl/>
              <w:jc w:val="center"/>
              <w:rPr>
                <w:rFonts w:hint="eastAsia" w:ascii="宋体" w:hAnsi="宋体"/>
                <w:b/>
                <w:kern w:val="0"/>
                <w:szCs w:val="21"/>
                <w:highlight w:val="none"/>
              </w:rPr>
            </w:pPr>
            <w:r>
              <w:rPr>
                <w:rFonts w:hint="eastAsia" w:ascii="宋体" w:hAnsi="宋体"/>
                <w:b/>
                <w:kern w:val="0"/>
                <w:szCs w:val="21"/>
                <w:highlight w:val="none"/>
                <w:lang w:val="en-US" w:eastAsia="zh-CN"/>
              </w:rPr>
              <w:t>样品评分</w:t>
            </w:r>
          </w:p>
        </w:tc>
        <w:tc>
          <w:tcPr>
            <w:tcW w:w="1515" w:type="dxa"/>
            <w:vAlign w:val="center"/>
          </w:tcPr>
          <w:p>
            <w:pPr>
              <w:widowControl/>
              <w:jc w:val="center"/>
              <w:rPr>
                <w:rFonts w:ascii="宋体" w:hAnsi="宋体"/>
                <w:b/>
                <w:kern w:val="0"/>
                <w:szCs w:val="21"/>
                <w:highlight w:val="none"/>
              </w:rPr>
            </w:pPr>
            <w:r>
              <w:rPr>
                <w:rFonts w:hint="eastAsia" w:ascii="宋体" w:hAnsi="宋体"/>
                <w:b/>
                <w:kern w:val="0"/>
                <w:szCs w:val="21"/>
                <w:highlight w:val="none"/>
              </w:rPr>
              <w:t>技术评分</w:t>
            </w:r>
          </w:p>
        </w:tc>
        <w:tc>
          <w:tcPr>
            <w:tcW w:w="1410" w:type="dxa"/>
            <w:vAlign w:val="center"/>
          </w:tcPr>
          <w:p>
            <w:pPr>
              <w:widowControl/>
              <w:jc w:val="center"/>
              <w:rPr>
                <w:rFonts w:ascii="宋体" w:hAnsi="宋体"/>
                <w:b/>
                <w:kern w:val="0"/>
                <w:szCs w:val="21"/>
                <w:highlight w:val="none"/>
              </w:rPr>
            </w:pPr>
            <w:r>
              <w:rPr>
                <w:rFonts w:hint="eastAsia" w:ascii="宋体" w:hAnsi="宋体"/>
                <w:b/>
                <w:kern w:val="0"/>
                <w:szCs w:val="21"/>
                <w:highlight w:val="none"/>
              </w:rPr>
              <w:t>商务评分</w:t>
            </w:r>
          </w:p>
        </w:tc>
        <w:tc>
          <w:tcPr>
            <w:tcW w:w="1502" w:type="dxa"/>
            <w:vAlign w:val="center"/>
          </w:tcPr>
          <w:p>
            <w:pPr>
              <w:widowControl/>
              <w:jc w:val="center"/>
              <w:rPr>
                <w:rFonts w:ascii="宋体" w:hAnsi="宋体"/>
                <w:b/>
                <w:kern w:val="0"/>
                <w:szCs w:val="21"/>
                <w:highlight w:val="none"/>
              </w:rPr>
            </w:pPr>
            <w:r>
              <w:rPr>
                <w:rFonts w:hint="eastAsia" w:ascii="宋体" w:hAnsi="宋体"/>
                <w:b/>
                <w:kern w:val="0"/>
                <w:szCs w:val="21"/>
                <w:highlight w:val="none"/>
              </w:rPr>
              <w:t>价格评分</w:t>
            </w:r>
          </w:p>
        </w:tc>
        <w:tc>
          <w:tcPr>
            <w:tcW w:w="1378" w:type="dxa"/>
            <w:vAlign w:val="center"/>
          </w:tcPr>
          <w:p>
            <w:pPr>
              <w:widowControl/>
              <w:jc w:val="center"/>
              <w:rPr>
                <w:rFonts w:ascii="宋体" w:hAnsi="宋体"/>
                <w:b/>
                <w:kern w:val="0"/>
                <w:szCs w:val="21"/>
                <w:highlight w:val="none"/>
              </w:rPr>
            </w:pPr>
            <w:r>
              <w:rPr>
                <w:rFonts w:hint="eastAsia" w:ascii="宋体" w:hAnsi="宋体"/>
                <w:b/>
                <w:kern w:val="0"/>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26" w:type="dxa"/>
            <w:vAlign w:val="center"/>
          </w:tcPr>
          <w:p>
            <w:pPr>
              <w:widowControl/>
              <w:jc w:val="center"/>
              <w:rPr>
                <w:rFonts w:ascii="宋体" w:hAnsi="宋体"/>
                <w:b/>
                <w:kern w:val="0"/>
                <w:szCs w:val="21"/>
                <w:highlight w:val="none"/>
              </w:rPr>
            </w:pPr>
            <w:r>
              <w:rPr>
                <w:rFonts w:hint="eastAsia" w:ascii="宋体" w:hAnsi="宋体"/>
                <w:b/>
                <w:kern w:val="0"/>
                <w:szCs w:val="21"/>
                <w:highlight w:val="none"/>
              </w:rPr>
              <w:t>权    重</w:t>
            </w:r>
          </w:p>
        </w:tc>
        <w:tc>
          <w:tcPr>
            <w:tcW w:w="1770" w:type="dxa"/>
            <w:vAlign w:val="center"/>
          </w:tcPr>
          <w:p>
            <w:pPr>
              <w:widowControl/>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30分</w:t>
            </w:r>
          </w:p>
        </w:tc>
        <w:tc>
          <w:tcPr>
            <w:tcW w:w="1515" w:type="dxa"/>
            <w:vAlign w:val="center"/>
          </w:tcPr>
          <w:p>
            <w:pPr>
              <w:widowControl/>
              <w:jc w:val="center"/>
              <w:rPr>
                <w:rFonts w:ascii="宋体" w:hAnsi="宋体"/>
                <w:color w:val="FF0000"/>
                <w:kern w:val="0"/>
                <w:szCs w:val="21"/>
                <w:highlight w:val="none"/>
              </w:rPr>
            </w:pPr>
            <w:r>
              <w:rPr>
                <w:rFonts w:hint="eastAsia" w:ascii="宋体" w:hAnsi="宋体"/>
                <w:kern w:val="0"/>
                <w:szCs w:val="21"/>
                <w:highlight w:val="none"/>
                <w:lang w:val="en-US" w:eastAsia="zh-CN"/>
              </w:rPr>
              <w:t>25</w:t>
            </w:r>
            <w:r>
              <w:rPr>
                <w:rFonts w:hint="eastAsia" w:ascii="宋体" w:hAnsi="宋体"/>
                <w:kern w:val="0"/>
                <w:szCs w:val="21"/>
                <w:highlight w:val="none"/>
              </w:rPr>
              <w:t>分</w:t>
            </w:r>
          </w:p>
        </w:tc>
        <w:tc>
          <w:tcPr>
            <w:tcW w:w="1410" w:type="dxa"/>
            <w:vAlign w:val="center"/>
          </w:tcPr>
          <w:p>
            <w:pPr>
              <w:widowControl/>
              <w:jc w:val="center"/>
              <w:rPr>
                <w:rFonts w:ascii="宋体" w:hAnsi="宋体"/>
                <w:color w:val="FF0000"/>
                <w:kern w:val="0"/>
                <w:szCs w:val="21"/>
                <w:highlight w:val="none"/>
              </w:rPr>
            </w:pPr>
            <w:r>
              <w:rPr>
                <w:rFonts w:hint="eastAsia" w:ascii="宋体" w:hAnsi="宋体"/>
                <w:kern w:val="0"/>
                <w:szCs w:val="21"/>
                <w:highlight w:val="none"/>
                <w:lang w:val="en-US" w:eastAsia="zh-CN"/>
              </w:rPr>
              <w:t>15</w:t>
            </w:r>
            <w:r>
              <w:rPr>
                <w:rFonts w:hint="eastAsia" w:ascii="宋体" w:hAnsi="宋体"/>
                <w:kern w:val="0"/>
                <w:szCs w:val="21"/>
                <w:highlight w:val="none"/>
              </w:rPr>
              <w:t>分</w:t>
            </w:r>
          </w:p>
        </w:tc>
        <w:tc>
          <w:tcPr>
            <w:tcW w:w="1502" w:type="dxa"/>
            <w:vAlign w:val="center"/>
          </w:tcPr>
          <w:p>
            <w:pPr>
              <w:widowControl/>
              <w:jc w:val="center"/>
              <w:rPr>
                <w:rFonts w:ascii="宋体" w:hAnsi="宋体"/>
                <w:kern w:val="0"/>
                <w:szCs w:val="21"/>
                <w:highlight w:val="none"/>
              </w:rPr>
            </w:pPr>
            <w:r>
              <w:rPr>
                <w:rFonts w:hint="eastAsia" w:ascii="宋体" w:hAnsi="宋体"/>
                <w:kern w:val="0"/>
                <w:szCs w:val="21"/>
                <w:highlight w:val="none"/>
                <w:lang w:val="en-US" w:eastAsia="zh-CN"/>
              </w:rPr>
              <w:t>30</w:t>
            </w:r>
            <w:r>
              <w:rPr>
                <w:rFonts w:hint="eastAsia" w:ascii="宋体" w:hAnsi="宋体"/>
                <w:kern w:val="0"/>
                <w:szCs w:val="21"/>
                <w:highlight w:val="none"/>
              </w:rPr>
              <w:t>分</w:t>
            </w:r>
          </w:p>
        </w:tc>
        <w:tc>
          <w:tcPr>
            <w:tcW w:w="1378" w:type="dxa"/>
            <w:vAlign w:val="center"/>
          </w:tcPr>
          <w:p>
            <w:pPr>
              <w:widowControl/>
              <w:jc w:val="center"/>
              <w:rPr>
                <w:rFonts w:ascii="宋体" w:hAnsi="宋体"/>
                <w:kern w:val="0"/>
                <w:szCs w:val="21"/>
                <w:highlight w:val="none"/>
              </w:rPr>
            </w:pPr>
            <w:r>
              <w:rPr>
                <w:rFonts w:hint="eastAsia" w:ascii="宋体" w:hAnsi="宋体"/>
                <w:kern w:val="0"/>
                <w:szCs w:val="21"/>
                <w:highlight w:val="none"/>
              </w:rPr>
              <w:t>100分</w:t>
            </w:r>
          </w:p>
        </w:tc>
      </w:tr>
    </w:tbl>
    <w:p>
      <w:pPr>
        <w:tabs>
          <w:tab w:val="left" w:pos="540"/>
          <w:tab w:val="left" w:pos="780"/>
        </w:tabs>
        <w:spacing w:line="360" w:lineRule="auto"/>
        <w:ind w:firstLine="836" w:firstLineChars="347"/>
        <w:jc w:val="center"/>
        <w:rPr>
          <w:rFonts w:hint="eastAsia" w:ascii="宋体" w:hAnsi="宋体"/>
          <w:b/>
          <w:sz w:val="24"/>
          <w:highlight w:val="none"/>
          <w:lang w:val="en-US" w:eastAsia="zh-CN"/>
        </w:rPr>
      </w:pPr>
    </w:p>
    <w:p>
      <w:pPr>
        <w:tabs>
          <w:tab w:val="left" w:pos="540"/>
          <w:tab w:val="left" w:pos="780"/>
        </w:tabs>
        <w:spacing w:line="360" w:lineRule="auto"/>
        <w:ind w:firstLine="0" w:firstLineChars="0"/>
        <w:jc w:val="both"/>
        <w:rPr>
          <w:rFonts w:hint="eastAsia" w:ascii="宋体" w:hAnsi="宋体"/>
          <w:b/>
          <w:sz w:val="24"/>
          <w:highlight w:val="none"/>
          <w:lang w:val="en-US" w:eastAsia="zh-CN"/>
        </w:rPr>
      </w:pPr>
    </w:p>
    <w:p>
      <w:pPr>
        <w:tabs>
          <w:tab w:val="left" w:pos="540"/>
          <w:tab w:val="left" w:pos="780"/>
        </w:tabs>
        <w:spacing w:line="360" w:lineRule="auto"/>
        <w:ind w:firstLine="836" w:firstLineChars="347"/>
        <w:jc w:val="center"/>
        <w:rPr>
          <w:rFonts w:hint="eastAsia" w:ascii="宋体" w:hAnsi="宋体"/>
          <w:b/>
          <w:sz w:val="24"/>
          <w:highlight w:val="none"/>
          <w:lang w:val="en-US" w:eastAsia="zh-CN"/>
        </w:rPr>
      </w:pPr>
      <w:r>
        <w:rPr>
          <w:rFonts w:hint="eastAsia" w:ascii="宋体" w:hAnsi="宋体"/>
          <w:b/>
          <w:sz w:val="24"/>
          <w:highlight w:val="none"/>
          <w:lang w:val="en-US" w:eastAsia="zh-CN"/>
        </w:rPr>
        <w:t>擦手纸样品评分表（15分）</w:t>
      </w:r>
    </w:p>
    <w:tbl>
      <w:tblPr>
        <w:tblStyle w:val="14"/>
        <w:tblpPr w:leftFromText="180" w:rightFromText="180" w:vertAnchor="text" w:horzAnchor="page" w:tblpX="1371" w:tblpY="102"/>
        <w:tblOverlap w:val="never"/>
        <w:tblW w:w="9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368"/>
        <w:gridCol w:w="5946"/>
        <w:gridCol w:w="629"/>
        <w:gridCol w:w="10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7" w:hRule="atLeast"/>
          <w:jc w:val="center"/>
        </w:trPr>
        <w:tc>
          <w:tcPr>
            <w:tcW w:w="582" w:type="dxa"/>
            <w:vAlign w:val="center"/>
          </w:tcPr>
          <w:p>
            <w:pPr>
              <w:pStyle w:val="19"/>
              <w:numPr>
                <w:ilvl w:val="0"/>
                <w:numId w:val="0"/>
              </w:numPr>
              <w:ind w:leftChars="0"/>
              <w:jc w:val="center"/>
              <w:rPr>
                <w:rFonts w:hint="eastAsia" w:ascii="宋体" w:hAnsi="宋体" w:eastAsia="宋体"/>
                <w:szCs w:val="21"/>
                <w:highlight w:val="none"/>
                <w:lang w:eastAsia="zh-CN"/>
              </w:rPr>
            </w:pPr>
            <w:r>
              <w:rPr>
                <w:rFonts w:hint="eastAsia" w:ascii="宋体" w:hAnsi="宋体" w:cs="宋体"/>
                <w:b/>
                <w:highlight w:val="none"/>
              </w:rPr>
              <w:t>序号</w:t>
            </w:r>
          </w:p>
        </w:tc>
        <w:tc>
          <w:tcPr>
            <w:tcW w:w="1368" w:type="dxa"/>
            <w:vAlign w:val="center"/>
          </w:tcPr>
          <w:p>
            <w:pPr>
              <w:widowControl/>
              <w:jc w:val="center"/>
              <w:rPr>
                <w:rFonts w:asciiTheme="majorEastAsia" w:hAnsiTheme="majorEastAsia" w:eastAsiaTheme="majorEastAsia" w:cstheme="majorEastAsia"/>
                <w:bCs/>
                <w:szCs w:val="21"/>
                <w:highlight w:val="none"/>
              </w:rPr>
            </w:pPr>
            <w:r>
              <w:rPr>
                <w:rFonts w:hint="eastAsia" w:ascii="宋体" w:hAnsi="宋体" w:cs="宋体"/>
                <w:b/>
                <w:highlight w:val="none"/>
              </w:rPr>
              <w:t>评审因素</w:t>
            </w:r>
          </w:p>
        </w:tc>
        <w:tc>
          <w:tcPr>
            <w:tcW w:w="5946" w:type="dxa"/>
            <w:vAlign w:val="center"/>
          </w:tcPr>
          <w:p>
            <w:pPr>
              <w:widowControl/>
              <w:jc w:val="center"/>
              <w:rPr>
                <w:rFonts w:asciiTheme="minorEastAsia" w:hAnsiTheme="minorEastAsia" w:eastAsiaTheme="minorEastAsia" w:cstheme="minorEastAsia"/>
                <w:szCs w:val="21"/>
                <w:highlight w:val="none"/>
              </w:rPr>
            </w:pPr>
            <w:r>
              <w:rPr>
                <w:rFonts w:hint="eastAsia" w:ascii="宋体" w:hAnsi="宋体" w:cs="宋体"/>
                <w:b/>
                <w:highlight w:val="none"/>
              </w:rPr>
              <w:t>评分细则</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宋体" w:hAnsi="宋体" w:cs="宋体"/>
                <w:b/>
                <w:highlight w:val="none"/>
              </w:rPr>
              <w:t>权重（%）</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宋体" w:hAnsi="宋体" w:cs="宋体"/>
                <w:b/>
                <w:highlight w:val="none"/>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7" w:hRule="atLeast"/>
          <w:jc w:val="center"/>
        </w:trPr>
        <w:tc>
          <w:tcPr>
            <w:tcW w:w="582" w:type="dxa"/>
            <w:vAlign w:val="center"/>
          </w:tcPr>
          <w:p>
            <w:pPr>
              <w:pStyle w:val="19"/>
              <w:numPr>
                <w:ilvl w:val="0"/>
                <w:numId w:val="0"/>
              </w:numPr>
              <w:ind w:left="0" w:leftChars="0" w:firstLine="0" w:firstLineChars="0"/>
              <w:jc w:val="center"/>
              <w:rPr>
                <w:rFonts w:hint="eastAsia" w:ascii="宋体" w:hAnsi="宋体"/>
                <w:szCs w:val="21"/>
                <w:highlight w:val="none"/>
                <w:lang w:val="en-US" w:eastAsia="zh-CN"/>
              </w:rPr>
            </w:pPr>
            <w:r>
              <w:rPr>
                <w:rFonts w:hint="eastAsia" w:ascii="宋体" w:hAnsi="宋体"/>
                <w:szCs w:val="21"/>
                <w:highlight w:val="none"/>
                <w:lang w:val="en-US" w:eastAsia="zh-CN"/>
              </w:rPr>
              <w:t>1</w:t>
            </w:r>
          </w:p>
        </w:tc>
        <w:tc>
          <w:tcPr>
            <w:tcW w:w="1368" w:type="dxa"/>
            <w:vAlign w:val="center"/>
          </w:tcPr>
          <w:p>
            <w:pPr>
              <w:widowControl/>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规格、尺寸</w:t>
            </w:r>
          </w:p>
        </w:tc>
        <w:tc>
          <w:tcPr>
            <w:tcW w:w="5946" w:type="dxa"/>
            <w:vAlign w:val="center"/>
          </w:tcPr>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根据擦手纸</w:t>
            </w:r>
            <w:r>
              <w:rPr>
                <w:rFonts w:hint="eastAsia" w:ascii="宋体" w:hAnsi="宋体" w:cs="宋体"/>
                <w:szCs w:val="21"/>
                <w:highlight w:val="none"/>
                <w:lang w:bidi="ar"/>
              </w:rPr>
              <w:t>样品</w:t>
            </w:r>
            <w:r>
              <w:rPr>
                <w:rFonts w:hint="eastAsia" w:ascii="宋体" w:hAnsi="宋体" w:cs="宋体"/>
                <w:szCs w:val="21"/>
                <w:highlight w:val="none"/>
                <w:lang w:val="en-US" w:eastAsia="zh-CN" w:bidi="ar"/>
              </w:rPr>
              <w:t>规格尺寸进行评分（擦手纸抽数、长宽尺寸等）：</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样品抽数大于或等于250抽、长宽尺寸达到22.5*23cm的，得2分；</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样品抽数大于或等于200抽且小于250抽的、长宽尺寸达到22.5*23cm的，得1分；</w:t>
            </w:r>
          </w:p>
          <w:p>
            <w:pPr>
              <w:widowControl/>
              <w:jc w:val="left"/>
              <w:rPr>
                <w:rFonts w:hint="eastAsia" w:ascii="宋体" w:hAnsi="宋体" w:cs="宋体"/>
                <w:szCs w:val="21"/>
                <w:highlight w:val="none"/>
                <w:lang w:bidi="ar"/>
              </w:rPr>
            </w:pPr>
            <w:r>
              <w:rPr>
                <w:rFonts w:hint="eastAsia" w:ascii="宋体" w:hAnsi="宋体" w:cs="宋体"/>
                <w:szCs w:val="21"/>
                <w:highlight w:val="none"/>
                <w:lang w:val="en-US" w:eastAsia="zh-CN" w:bidi="ar"/>
              </w:rPr>
              <w:t>样品抽数小于200抽、长宽尺寸未达到22.5*23cm的的，得0分。</w:t>
            </w:r>
          </w:p>
        </w:tc>
        <w:tc>
          <w:tcPr>
            <w:tcW w:w="629" w:type="dxa"/>
            <w:tcBorders>
              <w:righ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7" w:hRule="atLeast"/>
          <w:jc w:val="center"/>
        </w:trPr>
        <w:tc>
          <w:tcPr>
            <w:tcW w:w="582" w:type="dxa"/>
            <w:vAlign w:val="center"/>
          </w:tcPr>
          <w:p>
            <w:pPr>
              <w:pStyle w:val="19"/>
              <w:numPr>
                <w:ilvl w:val="0"/>
                <w:numId w:val="0"/>
              </w:numPr>
              <w:ind w:left="0" w:leftChars="0"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368" w:type="dxa"/>
            <w:vAlign w:val="center"/>
          </w:tcPr>
          <w:p>
            <w:pPr>
              <w:widowControl/>
              <w:jc w:val="center"/>
              <w:rPr>
                <w:rFonts w:hint="eastAsia"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重量（克数）</w:t>
            </w:r>
          </w:p>
        </w:tc>
        <w:tc>
          <w:tcPr>
            <w:tcW w:w="5946" w:type="dxa"/>
            <w:vAlign w:val="center"/>
          </w:tcPr>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根据擦手纸</w:t>
            </w:r>
            <w:r>
              <w:rPr>
                <w:rFonts w:hint="eastAsia" w:ascii="宋体" w:hAnsi="宋体" w:cs="宋体"/>
                <w:szCs w:val="21"/>
                <w:highlight w:val="none"/>
                <w:lang w:bidi="ar"/>
              </w:rPr>
              <w:t>样品</w:t>
            </w:r>
            <w:r>
              <w:rPr>
                <w:rFonts w:hint="eastAsia" w:ascii="宋体" w:hAnsi="宋体" w:cs="宋体"/>
                <w:szCs w:val="21"/>
                <w:highlight w:val="none"/>
                <w:lang w:val="en-US" w:eastAsia="zh-CN" w:bidi="ar"/>
              </w:rPr>
              <w:t>重量（克数）进行评分：</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样品定量克数大于43g的，得4分；</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样品定量克数等于43g的，得2分；</w:t>
            </w:r>
          </w:p>
          <w:p>
            <w:pPr>
              <w:widowControl/>
              <w:jc w:val="left"/>
              <w:rPr>
                <w:rFonts w:hint="eastAsia" w:ascii="宋体" w:hAnsi="宋体" w:cs="宋体"/>
                <w:szCs w:val="21"/>
                <w:highlight w:val="none"/>
                <w:lang w:bidi="ar"/>
              </w:rPr>
            </w:pPr>
            <w:r>
              <w:rPr>
                <w:rFonts w:hint="eastAsia" w:ascii="宋体" w:hAnsi="宋体" w:cs="宋体"/>
                <w:szCs w:val="21"/>
                <w:highlight w:val="none"/>
                <w:lang w:val="en-US" w:eastAsia="zh-CN" w:bidi="ar"/>
              </w:rPr>
              <w:t>样品定量克数小于43g的，得0分。</w:t>
            </w:r>
          </w:p>
        </w:tc>
        <w:tc>
          <w:tcPr>
            <w:tcW w:w="629" w:type="dxa"/>
            <w:tcBorders>
              <w:right w:val="single" w:color="auto" w:sz="4" w:space="0"/>
            </w:tcBorders>
            <w:vAlign w:val="center"/>
          </w:tcPr>
          <w:p>
            <w:pPr>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72" w:hRule="atLeast"/>
          <w:jc w:val="center"/>
        </w:trPr>
        <w:tc>
          <w:tcPr>
            <w:tcW w:w="582" w:type="dxa"/>
            <w:vAlign w:val="center"/>
          </w:tcPr>
          <w:p>
            <w:pPr>
              <w:pStyle w:val="19"/>
              <w:numPr>
                <w:ilvl w:val="0"/>
                <w:numId w:val="0"/>
              </w:numPr>
              <w:ind w:left="0" w:leftChars="0"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368" w:type="dxa"/>
            <w:vAlign w:val="center"/>
          </w:tcPr>
          <w:p>
            <w:pPr>
              <w:widowControl/>
              <w:jc w:val="center"/>
              <w:rPr>
                <w:rFonts w:hint="default" w:asciiTheme="majorEastAsia" w:hAnsiTheme="majorEastAsia" w:eastAsiaTheme="majorEastAsia" w:cstheme="majorEastAsia"/>
                <w:szCs w:val="21"/>
                <w:highlight w:val="none"/>
                <w:lang w:val="en-US"/>
              </w:rPr>
            </w:pPr>
            <w:r>
              <w:rPr>
                <w:rFonts w:hint="eastAsia" w:asciiTheme="minorEastAsia" w:hAnsiTheme="minorEastAsia" w:eastAsiaTheme="minorEastAsia" w:cstheme="minorEastAsia"/>
                <w:szCs w:val="21"/>
                <w:highlight w:val="none"/>
                <w:lang w:val="en-US" w:eastAsia="zh-CN"/>
              </w:rPr>
              <w:t>外观情况</w:t>
            </w:r>
          </w:p>
        </w:tc>
        <w:tc>
          <w:tcPr>
            <w:tcW w:w="5946" w:type="dxa"/>
            <w:vAlign w:val="center"/>
          </w:tcPr>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根据擦手纸</w:t>
            </w:r>
            <w:r>
              <w:rPr>
                <w:rFonts w:hint="eastAsia" w:ascii="宋体" w:hAnsi="宋体" w:cs="宋体"/>
                <w:szCs w:val="21"/>
                <w:highlight w:val="none"/>
                <w:lang w:bidi="ar"/>
              </w:rPr>
              <w:t>样品</w:t>
            </w:r>
            <w:r>
              <w:rPr>
                <w:rFonts w:hint="eastAsia" w:ascii="宋体" w:hAnsi="宋体" w:cs="宋体"/>
                <w:szCs w:val="21"/>
                <w:highlight w:val="none"/>
                <w:lang w:val="en-US" w:eastAsia="zh-CN" w:bidi="ar"/>
              </w:rPr>
              <w:t>外观情况进行评分：</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（白色、皱纹细腻、均匀，直面洁净、无印花及图案，不应有明显的死皱、残缺、破损、沙子、硬质块、生浆、杂质等纸病，</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完全满足以上要求，外观情况优秀的，得3分；</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满足以上要求，外观情况良好的，得2分；</w:t>
            </w:r>
          </w:p>
          <w:p>
            <w:pPr>
              <w:jc w:val="left"/>
              <w:rPr>
                <w:rFonts w:hint="eastAsia"/>
                <w:highlight w:val="none"/>
                <w:lang w:val="en-US" w:eastAsia="zh-CN"/>
              </w:rPr>
            </w:pPr>
            <w:r>
              <w:rPr>
                <w:rFonts w:hint="eastAsia" w:ascii="宋体" w:hAnsi="宋体" w:cs="宋体"/>
                <w:szCs w:val="21"/>
                <w:highlight w:val="none"/>
                <w:lang w:val="en-US" w:eastAsia="zh-CN" w:bidi="ar"/>
              </w:rPr>
              <w:t>基本满足以上要求，外观情况一般的，得1分；</w:t>
            </w:r>
          </w:p>
          <w:p>
            <w:pPr>
              <w:widowControl/>
              <w:jc w:val="left"/>
              <w:rPr>
                <w:rFonts w:hint="default" w:ascii="宋体" w:hAnsi="宋体" w:cs="宋体"/>
                <w:szCs w:val="21"/>
                <w:highlight w:val="none"/>
                <w:lang w:val="en-US" w:bidi="ar"/>
              </w:rPr>
            </w:pPr>
            <w:r>
              <w:rPr>
                <w:rFonts w:hint="eastAsia" w:ascii="宋体" w:hAnsi="宋体" w:cs="宋体"/>
                <w:szCs w:val="21"/>
                <w:highlight w:val="none"/>
                <w:lang w:val="en-US" w:eastAsia="zh-CN" w:bidi="ar"/>
              </w:rPr>
              <w:t>不满足以上要求，外观情况差的，得0分。</w:t>
            </w:r>
          </w:p>
        </w:tc>
        <w:tc>
          <w:tcPr>
            <w:tcW w:w="629" w:type="dxa"/>
            <w:tcBorders>
              <w:righ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582" w:type="dxa"/>
            <w:vAlign w:val="center"/>
          </w:tcPr>
          <w:p>
            <w:pPr>
              <w:pStyle w:val="19"/>
              <w:numPr>
                <w:ilvl w:val="0"/>
                <w:numId w:val="0"/>
              </w:numPr>
              <w:ind w:left="0" w:leftChars="0"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368" w:type="dxa"/>
            <w:vAlign w:val="center"/>
          </w:tcPr>
          <w:p>
            <w:pPr>
              <w:widowControl/>
              <w:jc w:val="center"/>
              <w:rPr>
                <w:rFonts w:hint="eastAsia"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掉粉粘手</w:t>
            </w:r>
          </w:p>
          <w:p>
            <w:pPr>
              <w:widowControl/>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情况</w:t>
            </w:r>
          </w:p>
        </w:tc>
        <w:tc>
          <w:tcPr>
            <w:tcW w:w="5946" w:type="dxa"/>
            <w:vAlign w:val="center"/>
          </w:tcPr>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根据擦手纸样品掉粉情况进行评分（不应有掉粉、掉毛及湿水后粘手、掉色等现象）：</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反复搓揉均无掉粉、掉毛及湿水后粘手、掉色等现象的，同比其他样品最优的，得3分；</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反复搓揉均无掉粉、掉毛及湿水后粘手、掉色等现象的，得1分；</w:t>
            </w:r>
          </w:p>
          <w:p>
            <w:pPr>
              <w:widowControl/>
              <w:jc w:val="left"/>
              <w:rPr>
                <w:rFonts w:hint="default"/>
                <w:highlight w:val="none"/>
                <w:lang w:val="en-US"/>
              </w:rPr>
            </w:pPr>
            <w:r>
              <w:rPr>
                <w:rFonts w:hint="eastAsia" w:ascii="宋体" w:hAnsi="宋体" w:cs="宋体"/>
                <w:szCs w:val="21"/>
                <w:highlight w:val="none"/>
                <w:lang w:val="en-US" w:eastAsia="zh-CN" w:bidi="ar"/>
              </w:rPr>
              <w:t>反复搓揉出现掉粉、掉毛及湿水后粘手、掉色等现象的，得0分。</w:t>
            </w:r>
          </w:p>
        </w:tc>
        <w:tc>
          <w:tcPr>
            <w:tcW w:w="629" w:type="dxa"/>
            <w:tcBorders>
              <w:right w:val="single" w:color="auto" w:sz="4" w:space="0"/>
            </w:tcBorders>
            <w:vAlign w:val="center"/>
          </w:tcPr>
          <w:p>
            <w:pPr>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582" w:type="dxa"/>
            <w:vAlign w:val="center"/>
          </w:tcPr>
          <w:p>
            <w:pPr>
              <w:pStyle w:val="19"/>
              <w:numPr>
                <w:ilvl w:val="0"/>
                <w:numId w:val="0"/>
              </w:numPr>
              <w:ind w:left="0" w:leftChars="0" w:firstLine="0" w:firstLineChars="0"/>
              <w:jc w:val="center"/>
              <w:rPr>
                <w:rFonts w:hint="default" w:ascii="宋体" w:hAnsi="宋体"/>
                <w:szCs w:val="21"/>
                <w:highlight w:val="cyan"/>
                <w:lang w:val="en-US" w:eastAsia="zh-CN"/>
              </w:rPr>
            </w:pPr>
            <w:r>
              <w:rPr>
                <w:rFonts w:hint="eastAsia" w:ascii="宋体" w:hAnsi="宋体"/>
                <w:szCs w:val="21"/>
                <w:highlight w:val="none"/>
                <w:lang w:val="en-US" w:eastAsia="zh-CN"/>
              </w:rPr>
              <w:t>5</w:t>
            </w:r>
          </w:p>
        </w:tc>
        <w:tc>
          <w:tcPr>
            <w:tcW w:w="1368" w:type="dxa"/>
            <w:vAlign w:val="center"/>
          </w:tcPr>
          <w:p>
            <w:pPr>
              <w:widowControl/>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吸水性能</w:t>
            </w:r>
          </w:p>
        </w:tc>
        <w:tc>
          <w:tcPr>
            <w:tcW w:w="5946" w:type="dxa"/>
            <w:vAlign w:val="center"/>
          </w:tcPr>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根据擦手纸样品吸水性能进行评分：</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湿水后吸水性能优秀的，得3分；</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湿水后吸水性能良好的，得2分；</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湿水后吸水性能一般的，得1分；</w:t>
            </w:r>
          </w:p>
          <w:p>
            <w:pPr>
              <w:widowControl/>
              <w:jc w:val="left"/>
              <w:rPr>
                <w:rFonts w:hint="eastAsia"/>
                <w:highlight w:val="none"/>
                <w:lang w:val="en-US" w:eastAsia="zh-CN"/>
              </w:rPr>
            </w:pPr>
            <w:r>
              <w:rPr>
                <w:rFonts w:hint="eastAsia" w:ascii="宋体" w:hAnsi="宋体" w:cs="宋体"/>
                <w:szCs w:val="21"/>
                <w:highlight w:val="none"/>
                <w:lang w:val="en-US" w:eastAsia="zh-CN" w:bidi="ar"/>
              </w:rPr>
              <w:t>湿水后吸水性能差的，得0分。</w:t>
            </w:r>
          </w:p>
        </w:tc>
        <w:tc>
          <w:tcPr>
            <w:tcW w:w="629" w:type="dxa"/>
            <w:tcBorders>
              <w:right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分</w:t>
            </w:r>
          </w:p>
        </w:tc>
      </w:tr>
    </w:tbl>
    <w:p>
      <w:pPr>
        <w:snapToGrid w:val="0"/>
        <w:spacing w:line="360" w:lineRule="auto"/>
        <w:ind w:firstLine="422" w:firstLineChars="200"/>
        <w:jc w:val="both"/>
        <w:rPr>
          <w:rFonts w:hint="eastAsia"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说明：如未提供</w:t>
      </w:r>
      <w:r>
        <w:rPr>
          <w:rFonts w:hint="eastAsia" w:ascii="宋体" w:hAnsi="宋体" w:cs="宋体"/>
          <w:b/>
          <w:bCs/>
          <w:color w:val="auto"/>
          <w:szCs w:val="21"/>
          <w:highlight w:val="none"/>
          <w:lang w:bidi="ar"/>
        </w:rPr>
        <w:t>样品</w:t>
      </w:r>
      <w:r>
        <w:rPr>
          <w:rFonts w:hint="eastAsia" w:ascii="宋体" w:hAnsi="宋体" w:cs="宋体"/>
          <w:b/>
          <w:bCs/>
          <w:color w:val="auto"/>
          <w:szCs w:val="21"/>
          <w:highlight w:val="none"/>
          <w:lang w:val="en-US" w:eastAsia="zh-CN" w:bidi="ar"/>
        </w:rPr>
        <w:t>的，该表所有评分得分值为0分。</w:t>
      </w:r>
    </w:p>
    <w:p>
      <w:pPr>
        <w:pStyle w:val="2"/>
        <w:jc w:val="both"/>
        <w:rPr>
          <w:rFonts w:hint="eastAsia"/>
          <w:lang w:val="en-US" w:eastAsia="zh-CN"/>
        </w:rPr>
      </w:pPr>
    </w:p>
    <w:p>
      <w:pPr>
        <w:tabs>
          <w:tab w:val="left" w:pos="540"/>
          <w:tab w:val="left" w:pos="780"/>
        </w:tabs>
        <w:spacing w:line="360" w:lineRule="auto"/>
        <w:ind w:firstLine="836" w:firstLineChars="347"/>
        <w:jc w:val="center"/>
        <w:rPr>
          <w:rFonts w:hint="eastAsia" w:ascii="宋体" w:hAnsi="宋体"/>
          <w:b/>
          <w:sz w:val="24"/>
          <w:highlight w:val="none"/>
          <w:lang w:val="en-US" w:eastAsia="zh-CN"/>
        </w:rPr>
      </w:pPr>
      <w:r>
        <w:rPr>
          <w:rFonts w:hint="eastAsia" w:ascii="宋体" w:hAnsi="宋体"/>
          <w:b/>
          <w:sz w:val="24"/>
          <w:highlight w:val="none"/>
          <w:lang w:val="en-US" w:eastAsia="zh-CN"/>
        </w:rPr>
        <w:t>卷纸样品评分表（15分）</w:t>
      </w:r>
    </w:p>
    <w:tbl>
      <w:tblPr>
        <w:tblStyle w:val="14"/>
        <w:tblpPr w:leftFromText="180" w:rightFromText="180" w:vertAnchor="text" w:horzAnchor="page" w:tblpX="1371" w:tblpY="102"/>
        <w:tblOverlap w:val="never"/>
        <w:tblW w:w="9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368"/>
        <w:gridCol w:w="5946"/>
        <w:gridCol w:w="629"/>
        <w:gridCol w:w="10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07" w:hRule="atLeast"/>
          <w:jc w:val="center"/>
        </w:trPr>
        <w:tc>
          <w:tcPr>
            <w:tcW w:w="582" w:type="dxa"/>
            <w:vAlign w:val="center"/>
          </w:tcPr>
          <w:p>
            <w:pPr>
              <w:pStyle w:val="19"/>
              <w:numPr>
                <w:ilvl w:val="0"/>
                <w:numId w:val="0"/>
              </w:numPr>
              <w:ind w:leftChars="0"/>
              <w:jc w:val="center"/>
              <w:rPr>
                <w:rFonts w:hint="eastAsia" w:ascii="宋体" w:hAnsi="宋体" w:eastAsia="宋体"/>
                <w:szCs w:val="21"/>
                <w:highlight w:val="none"/>
                <w:lang w:eastAsia="zh-CN"/>
              </w:rPr>
            </w:pPr>
            <w:r>
              <w:rPr>
                <w:rFonts w:hint="eastAsia" w:ascii="宋体" w:hAnsi="宋体" w:cs="宋体"/>
                <w:b/>
                <w:highlight w:val="none"/>
              </w:rPr>
              <w:t>序号</w:t>
            </w:r>
          </w:p>
        </w:tc>
        <w:tc>
          <w:tcPr>
            <w:tcW w:w="1368" w:type="dxa"/>
            <w:vAlign w:val="center"/>
          </w:tcPr>
          <w:p>
            <w:pPr>
              <w:widowControl/>
              <w:jc w:val="center"/>
              <w:rPr>
                <w:rFonts w:asciiTheme="majorEastAsia" w:hAnsiTheme="majorEastAsia" w:eastAsiaTheme="majorEastAsia" w:cstheme="majorEastAsia"/>
                <w:bCs/>
                <w:szCs w:val="21"/>
                <w:highlight w:val="none"/>
              </w:rPr>
            </w:pPr>
            <w:r>
              <w:rPr>
                <w:rFonts w:hint="eastAsia" w:ascii="宋体" w:hAnsi="宋体" w:cs="宋体"/>
                <w:b/>
                <w:highlight w:val="none"/>
              </w:rPr>
              <w:t>评审因素</w:t>
            </w:r>
          </w:p>
        </w:tc>
        <w:tc>
          <w:tcPr>
            <w:tcW w:w="5946" w:type="dxa"/>
            <w:vAlign w:val="center"/>
          </w:tcPr>
          <w:p>
            <w:pPr>
              <w:widowControl/>
              <w:jc w:val="center"/>
              <w:rPr>
                <w:rFonts w:asciiTheme="minorEastAsia" w:hAnsiTheme="minorEastAsia" w:eastAsiaTheme="minorEastAsia" w:cstheme="minorEastAsia"/>
                <w:szCs w:val="21"/>
                <w:highlight w:val="none"/>
              </w:rPr>
            </w:pPr>
            <w:r>
              <w:rPr>
                <w:rFonts w:hint="eastAsia" w:ascii="宋体" w:hAnsi="宋体" w:cs="宋体"/>
                <w:b/>
                <w:highlight w:val="none"/>
              </w:rPr>
              <w:t>评分细则</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宋体" w:hAnsi="宋体" w:cs="宋体"/>
                <w:b/>
                <w:highlight w:val="none"/>
              </w:rPr>
              <w:t>权重（%）</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宋体" w:hAnsi="宋体" w:cs="宋体"/>
                <w:b/>
                <w:highlight w:val="none"/>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7" w:hRule="atLeast"/>
          <w:jc w:val="center"/>
        </w:trPr>
        <w:tc>
          <w:tcPr>
            <w:tcW w:w="582" w:type="dxa"/>
            <w:vAlign w:val="center"/>
          </w:tcPr>
          <w:p>
            <w:pPr>
              <w:pStyle w:val="19"/>
              <w:numPr>
                <w:ilvl w:val="0"/>
                <w:numId w:val="0"/>
              </w:numPr>
              <w:ind w:left="0" w:leftChars="0" w:firstLine="0" w:firstLineChars="0"/>
              <w:jc w:val="center"/>
              <w:rPr>
                <w:rFonts w:hint="eastAsia" w:ascii="宋体" w:hAnsi="宋体"/>
                <w:szCs w:val="21"/>
                <w:highlight w:val="none"/>
                <w:lang w:val="en-US" w:eastAsia="zh-CN"/>
              </w:rPr>
            </w:pPr>
            <w:r>
              <w:rPr>
                <w:rFonts w:hint="eastAsia" w:ascii="宋体" w:hAnsi="宋体"/>
                <w:szCs w:val="21"/>
                <w:highlight w:val="none"/>
                <w:lang w:val="en-US" w:eastAsia="zh-CN"/>
              </w:rPr>
              <w:t>1</w:t>
            </w:r>
          </w:p>
        </w:tc>
        <w:tc>
          <w:tcPr>
            <w:tcW w:w="1368" w:type="dxa"/>
            <w:vAlign w:val="center"/>
          </w:tcPr>
          <w:p>
            <w:pPr>
              <w:widowControl/>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规格、尺寸</w:t>
            </w:r>
          </w:p>
        </w:tc>
        <w:tc>
          <w:tcPr>
            <w:tcW w:w="5946" w:type="dxa"/>
            <w:vAlign w:val="center"/>
          </w:tcPr>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根据卷纸</w:t>
            </w:r>
            <w:r>
              <w:rPr>
                <w:rFonts w:hint="eastAsia" w:ascii="宋体" w:hAnsi="宋体" w:cs="宋体"/>
                <w:szCs w:val="21"/>
                <w:highlight w:val="none"/>
                <w:lang w:bidi="ar"/>
              </w:rPr>
              <w:t>样品</w:t>
            </w:r>
            <w:r>
              <w:rPr>
                <w:rFonts w:hint="eastAsia" w:ascii="宋体" w:hAnsi="宋体" w:cs="宋体"/>
                <w:szCs w:val="21"/>
                <w:highlight w:val="none"/>
                <w:lang w:val="en-US" w:eastAsia="zh-CN" w:bidi="ar"/>
              </w:rPr>
              <w:t>规格尺寸进行评分（长宽尺寸、层数）：</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样品长宽尺寸大于101*138mm/节，层数达到4层的，得2分；</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样品长宽尺寸达到101*138mm/节，层数小于4层的，得1分；</w:t>
            </w:r>
          </w:p>
          <w:p>
            <w:pPr>
              <w:widowControl/>
              <w:jc w:val="left"/>
              <w:rPr>
                <w:rFonts w:hint="eastAsia" w:ascii="宋体" w:hAnsi="宋体" w:cs="宋体"/>
                <w:szCs w:val="21"/>
                <w:highlight w:val="none"/>
                <w:lang w:bidi="ar"/>
              </w:rPr>
            </w:pPr>
            <w:r>
              <w:rPr>
                <w:rFonts w:hint="eastAsia" w:ascii="宋体" w:hAnsi="宋体" w:cs="宋体"/>
                <w:szCs w:val="21"/>
                <w:highlight w:val="none"/>
                <w:lang w:val="en-US" w:eastAsia="zh-CN" w:bidi="ar"/>
              </w:rPr>
              <w:t>样品长宽尺寸未达到101*138mm/节，且层数小于4层的，得0分。</w:t>
            </w:r>
          </w:p>
        </w:tc>
        <w:tc>
          <w:tcPr>
            <w:tcW w:w="629" w:type="dxa"/>
            <w:tcBorders>
              <w:righ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07" w:hRule="atLeast"/>
          <w:jc w:val="center"/>
        </w:trPr>
        <w:tc>
          <w:tcPr>
            <w:tcW w:w="582" w:type="dxa"/>
            <w:vAlign w:val="center"/>
          </w:tcPr>
          <w:p>
            <w:pPr>
              <w:pStyle w:val="19"/>
              <w:numPr>
                <w:ilvl w:val="0"/>
                <w:numId w:val="0"/>
              </w:numPr>
              <w:ind w:left="0" w:leftChars="0"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368" w:type="dxa"/>
            <w:vAlign w:val="center"/>
          </w:tcPr>
          <w:p>
            <w:pPr>
              <w:widowControl/>
              <w:jc w:val="center"/>
              <w:rPr>
                <w:rFonts w:hint="eastAsia"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重量（克数）</w:t>
            </w:r>
          </w:p>
        </w:tc>
        <w:tc>
          <w:tcPr>
            <w:tcW w:w="5946" w:type="dxa"/>
            <w:vAlign w:val="center"/>
          </w:tcPr>
          <w:p>
            <w:pPr>
              <w:widowControl/>
              <w:jc w:val="left"/>
              <w:rPr>
                <w:rFonts w:hint="eastAsia"/>
                <w:highlight w:val="none"/>
                <w:lang w:val="en-US" w:eastAsia="zh-CN"/>
              </w:rPr>
            </w:pPr>
            <w:r>
              <w:rPr>
                <w:rFonts w:hint="eastAsia"/>
                <w:highlight w:val="none"/>
                <w:lang w:val="en-US" w:eastAsia="zh-CN"/>
              </w:rPr>
              <w:t>根据卷纸</w:t>
            </w:r>
            <w:r>
              <w:rPr>
                <w:rFonts w:hint="eastAsia"/>
                <w:highlight w:val="none"/>
              </w:rPr>
              <w:t>样品</w:t>
            </w:r>
            <w:r>
              <w:rPr>
                <w:rFonts w:hint="eastAsia"/>
                <w:highlight w:val="none"/>
                <w:lang w:val="en-US" w:eastAsia="zh-CN"/>
              </w:rPr>
              <w:t>重量（克数）进行评分：</w:t>
            </w:r>
          </w:p>
          <w:p>
            <w:pPr>
              <w:widowControl/>
              <w:jc w:val="left"/>
              <w:rPr>
                <w:rFonts w:hint="default"/>
                <w:highlight w:val="none"/>
                <w:lang w:val="en-US" w:eastAsia="zh-CN"/>
              </w:rPr>
            </w:pPr>
            <w:r>
              <w:rPr>
                <w:rFonts w:hint="eastAsia"/>
                <w:highlight w:val="none"/>
                <w:lang w:val="en-US" w:eastAsia="zh-CN"/>
              </w:rPr>
              <w:t>样品克重大于等于200g/卷的，得5分；</w:t>
            </w:r>
          </w:p>
          <w:p>
            <w:pPr>
              <w:widowControl/>
              <w:jc w:val="left"/>
              <w:rPr>
                <w:rFonts w:hint="eastAsia"/>
                <w:highlight w:val="none"/>
                <w:lang w:val="en-US" w:eastAsia="zh-CN"/>
              </w:rPr>
            </w:pPr>
            <w:r>
              <w:rPr>
                <w:rFonts w:hint="eastAsia"/>
                <w:highlight w:val="none"/>
                <w:lang w:val="en-US" w:eastAsia="zh-CN"/>
              </w:rPr>
              <w:t>样品克重大于等于180g/卷、小于200g/卷的，得3分；</w:t>
            </w:r>
          </w:p>
          <w:p>
            <w:pPr>
              <w:widowControl/>
              <w:jc w:val="left"/>
              <w:rPr>
                <w:rFonts w:hint="eastAsia"/>
                <w:highlight w:val="none"/>
                <w:lang w:val="en-US" w:eastAsia="zh-CN"/>
              </w:rPr>
            </w:pPr>
            <w:r>
              <w:rPr>
                <w:rFonts w:hint="eastAsia"/>
                <w:highlight w:val="none"/>
                <w:lang w:val="en-US" w:eastAsia="zh-CN"/>
              </w:rPr>
              <w:t>样品克重大于等于150g/卷、小于180g/卷的，得1分；</w:t>
            </w:r>
          </w:p>
          <w:p>
            <w:pPr>
              <w:pStyle w:val="2"/>
              <w:jc w:val="both"/>
              <w:rPr>
                <w:rFonts w:hint="default" w:eastAsia="华文新魏"/>
                <w:highlight w:val="none"/>
                <w:lang w:val="en-US" w:eastAsia="zh-CN"/>
              </w:rPr>
            </w:pPr>
            <w:r>
              <w:rPr>
                <w:rFonts w:hint="eastAsia" w:ascii="Times New Roman" w:hAnsi="Times New Roman" w:eastAsia="宋体" w:cs="Times New Roman"/>
                <w:sz w:val="21"/>
                <w:szCs w:val="20"/>
                <w:highlight w:val="none"/>
                <w:lang w:val="en-US" w:eastAsia="zh-CN"/>
              </w:rPr>
              <w:t>样品克重小于150g的，得0分。</w:t>
            </w:r>
          </w:p>
        </w:tc>
        <w:tc>
          <w:tcPr>
            <w:tcW w:w="629" w:type="dxa"/>
            <w:tcBorders>
              <w:right w:val="single" w:color="auto" w:sz="4" w:space="0"/>
            </w:tcBorders>
            <w:vAlign w:val="center"/>
          </w:tcPr>
          <w:p>
            <w:pPr>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72" w:hRule="atLeast"/>
          <w:jc w:val="center"/>
        </w:trPr>
        <w:tc>
          <w:tcPr>
            <w:tcW w:w="582" w:type="dxa"/>
            <w:vAlign w:val="center"/>
          </w:tcPr>
          <w:p>
            <w:pPr>
              <w:pStyle w:val="19"/>
              <w:numPr>
                <w:ilvl w:val="0"/>
                <w:numId w:val="0"/>
              </w:numPr>
              <w:ind w:left="0" w:leftChars="0"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368" w:type="dxa"/>
            <w:vAlign w:val="center"/>
          </w:tcPr>
          <w:p>
            <w:pPr>
              <w:widowControl/>
              <w:jc w:val="center"/>
              <w:rPr>
                <w:rFonts w:hint="default" w:asciiTheme="majorEastAsia" w:hAnsiTheme="majorEastAsia" w:eastAsiaTheme="majorEastAsia" w:cstheme="majorEastAsia"/>
                <w:szCs w:val="21"/>
                <w:highlight w:val="none"/>
                <w:lang w:val="en-US"/>
              </w:rPr>
            </w:pPr>
            <w:r>
              <w:rPr>
                <w:rFonts w:hint="eastAsia" w:asciiTheme="minorEastAsia" w:hAnsiTheme="minorEastAsia" w:eastAsiaTheme="minorEastAsia" w:cstheme="minorEastAsia"/>
                <w:szCs w:val="21"/>
                <w:highlight w:val="none"/>
                <w:lang w:val="en-US" w:eastAsia="zh-CN"/>
              </w:rPr>
              <w:t>外观情况</w:t>
            </w:r>
          </w:p>
        </w:tc>
        <w:tc>
          <w:tcPr>
            <w:tcW w:w="5946" w:type="dxa"/>
            <w:vAlign w:val="center"/>
          </w:tcPr>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根据卷纸</w:t>
            </w:r>
            <w:r>
              <w:rPr>
                <w:rFonts w:hint="eastAsia" w:ascii="宋体" w:hAnsi="宋体" w:cs="宋体"/>
                <w:szCs w:val="21"/>
                <w:highlight w:val="none"/>
                <w:lang w:bidi="ar"/>
              </w:rPr>
              <w:t>样品</w:t>
            </w:r>
            <w:r>
              <w:rPr>
                <w:rFonts w:hint="eastAsia" w:ascii="宋体" w:hAnsi="宋体" w:cs="宋体"/>
                <w:szCs w:val="21"/>
                <w:highlight w:val="none"/>
                <w:lang w:val="en-US" w:eastAsia="zh-CN" w:bidi="ar"/>
              </w:rPr>
              <w:t>外观情况进行评分：</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（白色、皱纹细腻、均匀，直面洁净、无印花及图案，不应有明显的死皱、残缺、破损、沙子、硬质块、生浆、杂质等纸病），</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完全满足以上要求，外观情况优秀的，得3分；</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满足以上要求，外观情况良好的，得2分；</w:t>
            </w:r>
          </w:p>
          <w:p>
            <w:pPr>
              <w:jc w:val="left"/>
              <w:rPr>
                <w:rFonts w:hint="eastAsia"/>
                <w:highlight w:val="none"/>
                <w:lang w:val="en-US" w:eastAsia="zh-CN"/>
              </w:rPr>
            </w:pPr>
            <w:r>
              <w:rPr>
                <w:rFonts w:hint="eastAsia" w:ascii="宋体" w:hAnsi="宋体" w:cs="宋体"/>
                <w:szCs w:val="21"/>
                <w:highlight w:val="none"/>
                <w:lang w:val="en-US" w:eastAsia="zh-CN" w:bidi="ar"/>
              </w:rPr>
              <w:t>基本满足以上要求，外观情况一般的，得1分；</w:t>
            </w:r>
          </w:p>
          <w:p>
            <w:pPr>
              <w:widowControl/>
              <w:jc w:val="left"/>
              <w:rPr>
                <w:rFonts w:hint="eastAsia" w:ascii="宋体" w:hAnsi="宋体" w:cs="宋体"/>
                <w:szCs w:val="21"/>
                <w:highlight w:val="none"/>
                <w:lang w:bidi="ar"/>
              </w:rPr>
            </w:pPr>
            <w:r>
              <w:rPr>
                <w:rFonts w:hint="eastAsia" w:ascii="宋体" w:hAnsi="宋体" w:cs="宋体"/>
                <w:szCs w:val="21"/>
                <w:highlight w:val="none"/>
                <w:lang w:val="en-US" w:eastAsia="zh-CN" w:bidi="ar"/>
              </w:rPr>
              <w:t>不满足以上要求，外观情况差的，得0分。</w:t>
            </w:r>
          </w:p>
        </w:tc>
        <w:tc>
          <w:tcPr>
            <w:tcW w:w="629" w:type="dxa"/>
            <w:tcBorders>
              <w:righ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582" w:type="dxa"/>
            <w:vAlign w:val="center"/>
          </w:tcPr>
          <w:p>
            <w:pPr>
              <w:pStyle w:val="19"/>
              <w:numPr>
                <w:ilvl w:val="0"/>
                <w:numId w:val="0"/>
              </w:numPr>
              <w:ind w:left="0" w:leftChars="0"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368" w:type="dxa"/>
            <w:vAlign w:val="center"/>
          </w:tcPr>
          <w:p>
            <w:pPr>
              <w:widowControl/>
              <w:jc w:val="center"/>
              <w:rPr>
                <w:rFonts w:hint="eastAsia"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掉粉粘手</w:t>
            </w:r>
          </w:p>
          <w:p>
            <w:pPr>
              <w:widowControl/>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情况</w:t>
            </w:r>
          </w:p>
        </w:tc>
        <w:tc>
          <w:tcPr>
            <w:tcW w:w="5946" w:type="dxa"/>
            <w:vAlign w:val="center"/>
          </w:tcPr>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根据卷纸样品掉粉情况进行评分（不应有掉粉、掉毛及湿水后粘手、掉色等现象）：</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反复搓揉均无掉粉、掉毛及湿水后粘手、掉色等现象的，同比其他样品最优的，得3分；</w:t>
            </w:r>
          </w:p>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反复搓揉均无掉粉、掉毛及湿水后粘手、掉色等现象的，得1分；</w:t>
            </w:r>
          </w:p>
          <w:p>
            <w:pPr>
              <w:widowControl/>
              <w:jc w:val="left"/>
              <w:rPr>
                <w:rFonts w:hint="default"/>
                <w:highlight w:val="none"/>
                <w:lang w:val="en-US"/>
              </w:rPr>
            </w:pPr>
            <w:r>
              <w:rPr>
                <w:rFonts w:hint="eastAsia" w:ascii="宋体" w:hAnsi="宋体" w:cs="宋体"/>
                <w:szCs w:val="21"/>
                <w:highlight w:val="none"/>
                <w:lang w:val="en-US" w:eastAsia="zh-CN" w:bidi="ar"/>
              </w:rPr>
              <w:t>反复搓揉出现掉粉、掉毛及湿水后粘手、掉色等现象的，得0分；</w:t>
            </w:r>
          </w:p>
        </w:tc>
        <w:tc>
          <w:tcPr>
            <w:tcW w:w="629" w:type="dxa"/>
            <w:tcBorders>
              <w:right w:val="single" w:color="auto" w:sz="4" w:space="0"/>
            </w:tcBorders>
            <w:vAlign w:val="center"/>
          </w:tcPr>
          <w:p>
            <w:pPr>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582" w:type="dxa"/>
            <w:vAlign w:val="center"/>
          </w:tcPr>
          <w:p>
            <w:pPr>
              <w:pStyle w:val="19"/>
              <w:numPr>
                <w:ilvl w:val="0"/>
                <w:numId w:val="0"/>
              </w:numPr>
              <w:ind w:left="0" w:leftChars="0"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5</w:t>
            </w:r>
          </w:p>
        </w:tc>
        <w:tc>
          <w:tcPr>
            <w:tcW w:w="1368" w:type="dxa"/>
            <w:vAlign w:val="center"/>
          </w:tcPr>
          <w:p>
            <w:pPr>
              <w:widowControl/>
              <w:jc w:val="center"/>
              <w:rPr>
                <w:rFonts w:hint="default" w:asciiTheme="majorEastAsia" w:hAnsiTheme="majorEastAsia" w:eastAsiaTheme="majorEastAsia" w:cstheme="majorEastAsia"/>
                <w:szCs w:val="21"/>
                <w:highlight w:val="none"/>
                <w:lang w:val="en-US" w:eastAsia="zh-CN"/>
              </w:rPr>
            </w:pPr>
            <w:r>
              <w:rPr>
                <w:rFonts w:hint="eastAsia" w:asciiTheme="majorEastAsia" w:hAnsiTheme="majorEastAsia" w:eastAsiaTheme="majorEastAsia" w:cstheme="majorEastAsia"/>
                <w:szCs w:val="21"/>
                <w:highlight w:val="none"/>
                <w:lang w:val="en-US" w:eastAsia="zh-CN"/>
              </w:rPr>
              <w:t>吸水性能</w:t>
            </w:r>
          </w:p>
        </w:tc>
        <w:tc>
          <w:tcPr>
            <w:tcW w:w="5946" w:type="dxa"/>
            <w:vAlign w:val="center"/>
          </w:tcPr>
          <w:p>
            <w:pPr>
              <w:widowControl/>
              <w:jc w:val="left"/>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根据卷纸样品吸水性能进行评分：</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湿水后吸水性能优秀的，得2分；</w:t>
            </w:r>
          </w:p>
          <w:p>
            <w:pPr>
              <w:widowControl/>
              <w:jc w:val="left"/>
              <w:rPr>
                <w:rFonts w:hint="default" w:ascii="宋体" w:hAnsi="宋体" w:cs="宋体"/>
                <w:szCs w:val="21"/>
                <w:highlight w:val="none"/>
                <w:lang w:val="en-US" w:eastAsia="zh-CN" w:bidi="ar"/>
              </w:rPr>
            </w:pPr>
            <w:r>
              <w:rPr>
                <w:rFonts w:hint="eastAsia" w:ascii="宋体" w:hAnsi="宋体" w:cs="宋体"/>
                <w:szCs w:val="21"/>
                <w:highlight w:val="none"/>
                <w:lang w:val="en-US" w:eastAsia="zh-CN" w:bidi="ar"/>
              </w:rPr>
              <w:t>湿水后吸水性能良好的，得1分；</w:t>
            </w:r>
          </w:p>
          <w:p>
            <w:pPr>
              <w:widowControl/>
              <w:jc w:val="left"/>
              <w:rPr>
                <w:rFonts w:hint="eastAsia"/>
                <w:highlight w:val="none"/>
                <w:lang w:val="en-US" w:eastAsia="zh-CN"/>
              </w:rPr>
            </w:pPr>
            <w:r>
              <w:rPr>
                <w:rFonts w:hint="eastAsia" w:ascii="宋体" w:hAnsi="宋体" w:cs="宋体"/>
                <w:szCs w:val="21"/>
                <w:highlight w:val="none"/>
                <w:lang w:val="en-US" w:eastAsia="zh-CN" w:bidi="ar"/>
              </w:rPr>
              <w:t>湿水后吸水性能一般的，得0分。</w:t>
            </w:r>
          </w:p>
        </w:tc>
        <w:tc>
          <w:tcPr>
            <w:tcW w:w="629" w:type="dxa"/>
            <w:tcBorders>
              <w:right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bidi="ar-SA"/>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分</w:t>
            </w:r>
          </w:p>
        </w:tc>
      </w:tr>
    </w:tbl>
    <w:p>
      <w:pPr>
        <w:snapToGrid w:val="0"/>
        <w:spacing w:line="360" w:lineRule="auto"/>
        <w:ind w:firstLine="422" w:firstLineChars="200"/>
        <w:jc w:val="both"/>
        <w:rPr>
          <w:rFonts w:hint="eastAsia"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说明：如未提供</w:t>
      </w:r>
      <w:r>
        <w:rPr>
          <w:rFonts w:hint="eastAsia" w:ascii="宋体" w:hAnsi="宋体" w:cs="宋体"/>
          <w:b/>
          <w:bCs/>
          <w:color w:val="auto"/>
          <w:szCs w:val="21"/>
          <w:highlight w:val="none"/>
          <w:lang w:bidi="ar"/>
        </w:rPr>
        <w:t>样品</w:t>
      </w:r>
      <w:r>
        <w:rPr>
          <w:rFonts w:hint="eastAsia" w:ascii="宋体" w:hAnsi="宋体" w:cs="宋体"/>
          <w:b/>
          <w:bCs/>
          <w:color w:val="auto"/>
          <w:szCs w:val="21"/>
          <w:highlight w:val="none"/>
          <w:lang w:val="en-US" w:eastAsia="zh-CN" w:bidi="ar"/>
        </w:rPr>
        <w:t>的，该表所有评分得分值为0分。</w:t>
      </w:r>
    </w:p>
    <w:p>
      <w:pPr>
        <w:pStyle w:val="2"/>
        <w:rPr>
          <w:rFonts w:hint="eastAsia"/>
          <w:highlight w:val="none"/>
        </w:rPr>
      </w:pPr>
    </w:p>
    <w:p>
      <w:pPr>
        <w:rPr>
          <w:rFonts w:hint="eastAsia"/>
          <w:highlight w:val="none"/>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14"/>
        <w:tblpPr w:leftFromText="180" w:rightFromText="180" w:vertAnchor="text" w:horzAnchor="page" w:tblpX="1106" w:tblpY="935"/>
        <w:tblOverlap w:val="never"/>
        <w:tblW w:w="9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368"/>
        <w:gridCol w:w="5946"/>
        <w:gridCol w:w="629"/>
        <w:gridCol w:w="10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vAlign w:val="center"/>
          </w:tcPr>
          <w:p>
            <w:pPr>
              <w:ind w:left="-78" w:leftChars="-37" w:right="-73" w:rightChars="-35"/>
              <w:jc w:val="center"/>
              <w:rPr>
                <w:rFonts w:ascii="宋体" w:hAnsi="宋体" w:cs="宋体"/>
                <w:b/>
                <w:highlight w:val="none"/>
              </w:rPr>
            </w:pPr>
            <w:r>
              <w:rPr>
                <w:rFonts w:hint="eastAsia" w:ascii="宋体" w:hAnsi="宋体" w:cs="宋体"/>
                <w:b/>
                <w:highlight w:val="none"/>
              </w:rPr>
              <w:t>序号</w:t>
            </w:r>
          </w:p>
        </w:tc>
        <w:tc>
          <w:tcPr>
            <w:tcW w:w="1368" w:type="dxa"/>
            <w:vAlign w:val="center"/>
          </w:tcPr>
          <w:p>
            <w:pPr>
              <w:ind w:left="-78" w:leftChars="-37" w:right="-73" w:rightChars="-35"/>
              <w:jc w:val="center"/>
              <w:rPr>
                <w:rFonts w:ascii="宋体" w:hAnsi="宋体" w:cs="宋体"/>
                <w:b/>
                <w:highlight w:val="none"/>
              </w:rPr>
            </w:pPr>
            <w:r>
              <w:rPr>
                <w:rFonts w:hint="eastAsia" w:ascii="宋体" w:hAnsi="宋体" w:cs="宋体"/>
                <w:b/>
                <w:highlight w:val="none"/>
              </w:rPr>
              <w:t>评审因素</w:t>
            </w:r>
          </w:p>
        </w:tc>
        <w:tc>
          <w:tcPr>
            <w:tcW w:w="5946" w:type="dxa"/>
            <w:vAlign w:val="center"/>
          </w:tcPr>
          <w:p>
            <w:pPr>
              <w:ind w:left="-78" w:leftChars="-37" w:right="-73" w:rightChars="-35"/>
              <w:jc w:val="center"/>
              <w:rPr>
                <w:rFonts w:ascii="宋体" w:hAnsi="宋体" w:cs="宋体"/>
                <w:b/>
                <w:highlight w:val="none"/>
              </w:rPr>
            </w:pPr>
            <w:r>
              <w:rPr>
                <w:rFonts w:hint="eastAsia" w:ascii="宋体" w:hAnsi="宋体" w:cs="宋体"/>
                <w:b/>
                <w:highlight w:val="none"/>
              </w:rPr>
              <w:t>评分细则</w:t>
            </w:r>
          </w:p>
        </w:tc>
        <w:tc>
          <w:tcPr>
            <w:tcW w:w="629" w:type="dxa"/>
            <w:tcBorders>
              <w:right w:val="single" w:color="auto" w:sz="4" w:space="0"/>
            </w:tcBorders>
            <w:vAlign w:val="center"/>
          </w:tcPr>
          <w:p>
            <w:pPr>
              <w:ind w:left="-78" w:leftChars="-37" w:right="-73" w:rightChars="-35"/>
              <w:jc w:val="center"/>
              <w:rPr>
                <w:rFonts w:ascii="宋体" w:hAnsi="宋体" w:cs="宋体"/>
                <w:b/>
                <w:highlight w:val="none"/>
              </w:rPr>
            </w:pPr>
            <w:r>
              <w:rPr>
                <w:rFonts w:hint="eastAsia" w:ascii="宋体" w:hAnsi="宋体" w:cs="宋体"/>
                <w:b/>
                <w:highlight w:val="none"/>
              </w:rPr>
              <w:t>权重（%）</w:t>
            </w:r>
          </w:p>
        </w:tc>
        <w:tc>
          <w:tcPr>
            <w:tcW w:w="1033" w:type="dxa"/>
            <w:tcBorders>
              <w:left w:val="single" w:color="auto" w:sz="4" w:space="0"/>
            </w:tcBorders>
            <w:vAlign w:val="center"/>
          </w:tcPr>
          <w:p>
            <w:pPr>
              <w:ind w:left="-78" w:leftChars="-37" w:right="-73" w:rightChars="-35"/>
              <w:jc w:val="center"/>
              <w:rPr>
                <w:rFonts w:ascii="宋体" w:hAnsi="宋体" w:cs="宋体"/>
                <w:b/>
                <w:highlight w:val="none"/>
              </w:rPr>
            </w:pPr>
            <w:r>
              <w:rPr>
                <w:rFonts w:hint="eastAsia" w:ascii="宋体" w:hAnsi="宋体" w:cs="宋体"/>
                <w:b/>
                <w:highlight w:val="none"/>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582" w:type="dxa"/>
            <w:vAlign w:val="center"/>
          </w:tcPr>
          <w:p>
            <w:pPr>
              <w:ind w:left="-78" w:leftChars="-37" w:right="-73" w:rightChars="-35"/>
              <w:jc w:val="center"/>
              <w:rPr>
                <w:rFonts w:ascii="宋体" w:hAnsi="宋体" w:cs="宋体"/>
                <w:highlight w:val="none"/>
              </w:rPr>
            </w:pPr>
            <w:r>
              <w:rPr>
                <w:rFonts w:hint="eastAsia" w:ascii="宋体" w:hAnsi="宋体" w:cs="宋体"/>
                <w:highlight w:val="none"/>
              </w:rPr>
              <w:t>一</w:t>
            </w:r>
          </w:p>
        </w:tc>
        <w:tc>
          <w:tcPr>
            <w:tcW w:w="8976" w:type="dxa"/>
            <w:gridSpan w:val="4"/>
            <w:vAlign w:val="center"/>
          </w:tcPr>
          <w:p>
            <w:pPr>
              <w:ind w:left="-78" w:leftChars="-37" w:right="-73" w:rightChars="-35"/>
              <w:jc w:val="center"/>
              <w:rPr>
                <w:rFonts w:ascii="宋体" w:hAnsi="宋体" w:cs="宋体"/>
                <w:highlight w:val="none"/>
              </w:rPr>
            </w:pPr>
            <w:r>
              <w:rPr>
                <w:rFonts w:hint="eastAsia" w:ascii="宋体" w:hAnsi="宋体"/>
                <w:highlight w:val="none"/>
              </w:rPr>
              <w:t>技术部分(合计</w:t>
            </w:r>
            <w:r>
              <w:rPr>
                <w:rFonts w:hint="eastAsia" w:ascii="宋体" w:hAnsi="宋体"/>
                <w:highlight w:val="none"/>
                <w:lang w:val="en-US" w:eastAsia="zh-CN"/>
              </w:rPr>
              <w:t>25</w:t>
            </w:r>
            <w:r>
              <w:rPr>
                <w:rFonts w:hint="eastAsia" w:ascii="宋体" w:hAnsi="宋体"/>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9" w:hRule="atLeast"/>
          <w:jc w:val="center"/>
        </w:trPr>
        <w:tc>
          <w:tcPr>
            <w:tcW w:w="582" w:type="dxa"/>
            <w:vAlign w:val="center"/>
          </w:tcPr>
          <w:p>
            <w:pPr>
              <w:pStyle w:val="19"/>
              <w:numPr>
                <w:ilvl w:val="0"/>
                <w:numId w:val="0"/>
              </w:numPr>
              <w:ind w:leftChars="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w:t>
            </w:r>
          </w:p>
        </w:tc>
        <w:tc>
          <w:tcPr>
            <w:tcW w:w="1368" w:type="dxa"/>
            <w:vAlign w:val="center"/>
          </w:tcPr>
          <w:p>
            <w:pPr>
              <w:widowControl/>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产品符合性及用户需求相应程度</w:t>
            </w:r>
          </w:p>
        </w:tc>
        <w:tc>
          <w:tcPr>
            <w:tcW w:w="5946" w:type="dxa"/>
            <w:vAlign w:val="center"/>
          </w:tcPr>
          <w:p>
            <w:pPr>
              <w:widowControl/>
              <w:jc w:val="left"/>
              <w:rPr>
                <w:rFonts w:asciiTheme="minorEastAsia" w:hAnsiTheme="minorEastAsia" w:eastAsiaTheme="minorEastAsia" w:cstheme="minorEastAsia"/>
                <w:szCs w:val="21"/>
                <w:highlight w:val="none"/>
              </w:rPr>
            </w:pPr>
            <w:r>
              <w:rPr>
                <w:rFonts w:hint="eastAsia" w:ascii="宋体" w:hAnsi="宋体" w:cs="宋体"/>
                <w:szCs w:val="21"/>
                <w:highlight w:val="none"/>
                <w:lang w:bidi="ar"/>
              </w:rPr>
              <w:t>投标人所投产品的技术参数及质量标准完全满足用户需求</w:t>
            </w:r>
            <w:r>
              <w:rPr>
                <w:rFonts w:hint="eastAsia" w:ascii="宋体" w:hAnsi="宋体" w:cs="宋体"/>
                <w:szCs w:val="21"/>
                <w:highlight w:val="none"/>
                <w:lang w:val="en-US" w:eastAsia="zh-CN" w:bidi="ar"/>
              </w:rPr>
              <w:t>参数要求</w:t>
            </w:r>
            <w:r>
              <w:rPr>
                <w:rFonts w:hint="eastAsia" w:ascii="宋体" w:hAnsi="宋体"/>
                <w:color w:val="000000"/>
                <w:szCs w:val="21"/>
                <w:highlight w:val="none"/>
                <w:lang w:bidi="ar"/>
              </w:rPr>
              <w:t>的</w:t>
            </w:r>
            <w:r>
              <w:rPr>
                <w:rFonts w:hint="eastAsia" w:ascii="宋体" w:hAnsi="宋体" w:cs="宋体"/>
                <w:szCs w:val="21"/>
                <w:highlight w:val="none"/>
                <w:lang w:bidi="ar"/>
              </w:rPr>
              <w:t>，得</w:t>
            </w:r>
            <w:r>
              <w:rPr>
                <w:rFonts w:hint="eastAsia" w:ascii="宋体" w:hAnsi="宋体" w:cs="宋体"/>
                <w:szCs w:val="21"/>
                <w:highlight w:val="none"/>
                <w:lang w:val="en-US" w:eastAsia="zh-CN" w:bidi="ar"/>
              </w:rPr>
              <w:t>15</w:t>
            </w:r>
            <w:r>
              <w:rPr>
                <w:rFonts w:hint="eastAsia" w:ascii="宋体" w:hAnsi="宋体" w:cs="宋体"/>
                <w:szCs w:val="21"/>
                <w:highlight w:val="none"/>
                <w:lang w:bidi="ar"/>
              </w:rPr>
              <w:t>分，技术要求有偏离的（存在负偏离），存在一处扣 1 分，扣完为止。</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15</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15</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1" w:hRule="atLeast"/>
          <w:jc w:val="center"/>
        </w:trPr>
        <w:tc>
          <w:tcPr>
            <w:tcW w:w="582" w:type="dxa"/>
            <w:vAlign w:val="center"/>
          </w:tcPr>
          <w:p>
            <w:pPr>
              <w:pStyle w:val="19"/>
              <w:numPr>
                <w:ilvl w:val="0"/>
                <w:numId w:val="0"/>
              </w:numPr>
              <w:ind w:leftChars="0"/>
              <w:jc w:val="center"/>
              <w:rPr>
                <w:rFonts w:hint="eastAsia" w:ascii="宋体" w:hAnsi="宋体" w:eastAsia="宋体"/>
                <w:szCs w:val="21"/>
                <w:highlight w:val="none"/>
                <w:lang w:eastAsia="zh-CN"/>
              </w:rPr>
            </w:pPr>
            <w:r>
              <w:rPr>
                <w:rFonts w:hint="eastAsia" w:ascii="宋体" w:hAnsi="宋体"/>
                <w:szCs w:val="21"/>
                <w:highlight w:val="none"/>
                <w:lang w:val="en-US" w:eastAsia="zh-CN"/>
              </w:rPr>
              <w:t>2</w:t>
            </w:r>
          </w:p>
        </w:tc>
        <w:tc>
          <w:tcPr>
            <w:tcW w:w="1368" w:type="dxa"/>
            <w:vAlign w:val="center"/>
          </w:tcPr>
          <w:p>
            <w:pPr>
              <w:widowControl/>
              <w:jc w:val="center"/>
              <w:rPr>
                <w:rFonts w:asciiTheme="majorEastAsia" w:hAnsiTheme="majorEastAsia" w:eastAsiaTheme="majorEastAsia" w:cstheme="majorEastAsia"/>
                <w:bCs/>
                <w:szCs w:val="21"/>
                <w:highlight w:val="none"/>
              </w:rPr>
            </w:pPr>
            <w:r>
              <w:rPr>
                <w:rFonts w:hint="eastAsia" w:ascii="宋体" w:hAnsi="宋体" w:cs="宋体"/>
                <w:szCs w:val="21"/>
                <w:highlight w:val="none"/>
              </w:rPr>
              <w:t>供货（配送）服务方案</w:t>
            </w:r>
          </w:p>
        </w:tc>
        <w:tc>
          <w:tcPr>
            <w:tcW w:w="5946" w:type="dxa"/>
            <w:vAlign w:val="center"/>
          </w:tcPr>
          <w:p>
            <w:pPr>
              <w:pStyle w:val="24"/>
              <w:numPr>
                <w:ilvl w:val="0"/>
                <w:numId w:val="0"/>
              </w:numPr>
              <w:autoSpaceDE/>
              <w:adjustRightInd/>
              <w:ind w:leftChars="0"/>
              <w:jc w:val="left"/>
              <w:rPr>
                <w:rFonts w:cs="宋体"/>
                <w:color w:val="auto"/>
                <w:kern w:val="2"/>
                <w:sz w:val="21"/>
                <w:szCs w:val="21"/>
                <w:highlight w:val="none"/>
              </w:rPr>
            </w:pPr>
            <w:r>
              <w:rPr>
                <w:rFonts w:hint="eastAsia" w:cs="宋体"/>
                <w:color w:val="auto"/>
                <w:kern w:val="2"/>
                <w:sz w:val="21"/>
                <w:szCs w:val="21"/>
                <w:highlight w:val="none"/>
              </w:rPr>
              <w:t>日常供货（配送）服务便捷性和及时性非常好，得</w:t>
            </w:r>
            <w:r>
              <w:rPr>
                <w:rFonts w:hint="eastAsia" w:cs="宋体"/>
                <w:color w:val="auto"/>
                <w:kern w:val="2"/>
                <w:sz w:val="21"/>
                <w:szCs w:val="21"/>
                <w:highlight w:val="none"/>
                <w:lang w:val="en-US" w:eastAsia="zh-CN"/>
              </w:rPr>
              <w:t>5</w:t>
            </w:r>
            <w:r>
              <w:rPr>
                <w:rFonts w:hint="eastAsia" w:cs="宋体"/>
                <w:color w:val="auto"/>
                <w:kern w:val="2"/>
                <w:sz w:val="21"/>
                <w:szCs w:val="21"/>
                <w:highlight w:val="none"/>
              </w:rPr>
              <w:t>分；</w:t>
            </w:r>
          </w:p>
          <w:p>
            <w:pPr>
              <w:pStyle w:val="24"/>
              <w:numPr>
                <w:ilvl w:val="0"/>
                <w:numId w:val="0"/>
              </w:numPr>
              <w:autoSpaceDE/>
              <w:adjustRightInd/>
              <w:ind w:leftChars="0"/>
              <w:jc w:val="left"/>
              <w:rPr>
                <w:rFonts w:cs="宋体"/>
                <w:color w:val="auto"/>
                <w:kern w:val="2"/>
                <w:sz w:val="21"/>
                <w:szCs w:val="21"/>
                <w:highlight w:val="none"/>
              </w:rPr>
            </w:pPr>
            <w:r>
              <w:rPr>
                <w:rFonts w:hint="eastAsia" w:cs="宋体"/>
                <w:color w:val="auto"/>
                <w:kern w:val="2"/>
                <w:sz w:val="21"/>
                <w:szCs w:val="21"/>
                <w:highlight w:val="none"/>
              </w:rPr>
              <w:t>日常供货（配送）服务便捷性和及时性比较好，得</w:t>
            </w:r>
            <w:r>
              <w:rPr>
                <w:rFonts w:hint="eastAsia" w:cs="宋体"/>
                <w:color w:val="auto"/>
                <w:kern w:val="2"/>
                <w:sz w:val="21"/>
                <w:szCs w:val="21"/>
                <w:highlight w:val="none"/>
                <w:lang w:val="en-US" w:eastAsia="zh-CN"/>
              </w:rPr>
              <w:t>3</w:t>
            </w:r>
            <w:r>
              <w:rPr>
                <w:rFonts w:hint="eastAsia" w:cs="宋体"/>
                <w:color w:val="auto"/>
                <w:kern w:val="2"/>
                <w:sz w:val="21"/>
                <w:szCs w:val="21"/>
                <w:highlight w:val="none"/>
              </w:rPr>
              <w:t>分；</w:t>
            </w:r>
          </w:p>
          <w:p>
            <w:pPr>
              <w:pStyle w:val="24"/>
              <w:numPr>
                <w:ilvl w:val="0"/>
                <w:numId w:val="0"/>
              </w:numPr>
              <w:autoSpaceDE/>
              <w:adjustRightInd/>
              <w:ind w:leftChars="0"/>
              <w:jc w:val="left"/>
              <w:rPr>
                <w:rFonts w:cs="宋体"/>
                <w:color w:val="auto"/>
                <w:kern w:val="2"/>
                <w:sz w:val="21"/>
                <w:szCs w:val="21"/>
                <w:highlight w:val="none"/>
              </w:rPr>
            </w:pPr>
            <w:r>
              <w:rPr>
                <w:rFonts w:hint="eastAsia" w:cs="宋体"/>
                <w:color w:val="auto"/>
                <w:kern w:val="2"/>
                <w:sz w:val="21"/>
                <w:szCs w:val="21"/>
                <w:highlight w:val="none"/>
              </w:rPr>
              <w:t>日常供货（配送）服务便捷性和及时性一般，得</w:t>
            </w:r>
            <w:r>
              <w:rPr>
                <w:rFonts w:hint="eastAsia" w:cs="宋体"/>
                <w:color w:val="auto"/>
                <w:kern w:val="2"/>
                <w:sz w:val="21"/>
                <w:szCs w:val="21"/>
                <w:highlight w:val="none"/>
                <w:lang w:val="en-US" w:eastAsia="zh-CN"/>
              </w:rPr>
              <w:t>1</w:t>
            </w:r>
            <w:r>
              <w:rPr>
                <w:rFonts w:hint="eastAsia" w:cs="宋体"/>
                <w:color w:val="auto"/>
                <w:kern w:val="2"/>
                <w:sz w:val="21"/>
                <w:szCs w:val="21"/>
                <w:highlight w:val="none"/>
              </w:rPr>
              <w:t>分；</w:t>
            </w:r>
          </w:p>
          <w:p>
            <w:pPr>
              <w:widowControl/>
              <w:jc w:val="left"/>
              <w:rPr>
                <w:rFonts w:asciiTheme="minorEastAsia" w:hAnsiTheme="minorEastAsia" w:eastAsiaTheme="minorEastAsia" w:cstheme="minorEastAsia"/>
                <w:szCs w:val="21"/>
                <w:highlight w:val="none"/>
              </w:rPr>
            </w:pPr>
            <w:r>
              <w:rPr>
                <w:rFonts w:hint="eastAsia" w:cs="宋体"/>
                <w:color w:val="auto"/>
                <w:kern w:val="2"/>
                <w:sz w:val="21"/>
                <w:szCs w:val="21"/>
                <w:highlight w:val="none"/>
              </w:rPr>
              <w:t>日常供货（配送）服务便捷性和及时性非常差，得</w:t>
            </w:r>
            <w:r>
              <w:rPr>
                <w:rFonts w:hint="eastAsia" w:ascii="宋体" w:hAnsi="宋体" w:eastAsia="宋体" w:cs="宋体"/>
                <w:color w:val="auto"/>
                <w:kern w:val="2"/>
                <w:sz w:val="21"/>
                <w:szCs w:val="21"/>
                <w:highlight w:val="none"/>
                <w:lang w:val="en-US" w:eastAsia="zh-CN" w:bidi="ar-SA"/>
              </w:rPr>
              <w:t>0</w:t>
            </w:r>
            <w:r>
              <w:rPr>
                <w:rFonts w:hint="eastAsia" w:cs="宋体"/>
                <w:color w:val="auto"/>
                <w:kern w:val="2"/>
                <w:sz w:val="21"/>
                <w:szCs w:val="21"/>
                <w:highlight w:val="none"/>
              </w:rPr>
              <w:t>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4" w:hRule="atLeast"/>
          <w:jc w:val="center"/>
        </w:trPr>
        <w:tc>
          <w:tcPr>
            <w:tcW w:w="582" w:type="dxa"/>
            <w:vAlign w:val="center"/>
          </w:tcPr>
          <w:p>
            <w:pPr>
              <w:pStyle w:val="19"/>
              <w:numPr>
                <w:ilvl w:val="0"/>
                <w:numId w:val="0"/>
              </w:numPr>
              <w:ind w:leftChars="0"/>
              <w:jc w:val="center"/>
              <w:rPr>
                <w:rFonts w:hint="eastAsia" w:ascii="宋体" w:hAnsi="宋体" w:eastAsia="宋体"/>
                <w:szCs w:val="21"/>
                <w:highlight w:val="none"/>
                <w:lang w:eastAsia="zh-CN"/>
              </w:rPr>
            </w:pPr>
            <w:r>
              <w:rPr>
                <w:rFonts w:hint="eastAsia" w:ascii="宋体" w:hAnsi="宋体"/>
                <w:szCs w:val="21"/>
                <w:highlight w:val="none"/>
                <w:lang w:val="en-US" w:eastAsia="zh-CN"/>
              </w:rPr>
              <w:t>3</w:t>
            </w:r>
          </w:p>
        </w:tc>
        <w:tc>
          <w:tcPr>
            <w:tcW w:w="1368" w:type="dxa"/>
            <w:vAlign w:val="center"/>
          </w:tcPr>
          <w:p>
            <w:pPr>
              <w:widowControl/>
              <w:jc w:val="center"/>
              <w:rPr>
                <w:rFonts w:asciiTheme="majorEastAsia" w:hAnsiTheme="majorEastAsia" w:eastAsiaTheme="majorEastAsia" w:cstheme="majorEastAsia"/>
                <w:szCs w:val="21"/>
                <w:highlight w:val="none"/>
              </w:rPr>
            </w:pPr>
            <w:r>
              <w:rPr>
                <w:rFonts w:hint="eastAsia" w:ascii="宋体" w:hAnsi="宋体"/>
                <w:szCs w:val="21"/>
                <w:highlight w:val="none"/>
              </w:rPr>
              <w:t>增值服务</w:t>
            </w:r>
          </w:p>
        </w:tc>
        <w:tc>
          <w:tcPr>
            <w:tcW w:w="5946" w:type="dxa"/>
            <w:vAlign w:val="center"/>
          </w:tcPr>
          <w:p>
            <w:pPr>
              <w:widowControl/>
              <w:jc w:val="left"/>
              <w:rPr>
                <w:rFonts w:ascii="宋体" w:hAnsi="宋体" w:cs="宋体"/>
                <w:szCs w:val="21"/>
                <w:highlight w:val="none"/>
              </w:rPr>
            </w:pPr>
            <w:r>
              <w:rPr>
                <w:rFonts w:hint="eastAsia" w:ascii="宋体" w:hAnsi="宋体" w:cs="宋体"/>
                <w:szCs w:val="21"/>
                <w:highlight w:val="none"/>
                <w:lang w:bidi="ar"/>
              </w:rPr>
              <w:t>根据投标人针对本项目提供的增值服务情况进行比较评分。</w:t>
            </w:r>
          </w:p>
          <w:p>
            <w:pPr>
              <w:widowControl/>
              <w:jc w:val="left"/>
              <w:rPr>
                <w:rFonts w:hint="eastAsia" w:ascii="宋体" w:hAnsi="宋体"/>
                <w:szCs w:val="21"/>
                <w:highlight w:val="none"/>
                <w:lang w:bidi="ar"/>
              </w:rPr>
            </w:pPr>
            <w:r>
              <w:rPr>
                <w:rFonts w:hint="eastAsia" w:ascii="宋体" w:hAnsi="宋体"/>
                <w:szCs w:val="21"/>
                <w:highlight w:val="none"/>
                <w:lang w:bidi="ar"/>
              </w:rPr>
              <w:t>优：</w:t>
            </w:r>
            <w:r>
              <w:rPr>
                <w:rFonts w:hint="eastAsia" w:ascii="宋体" w:hAnsi="宋体"/>
                <w:szCs w:val="21"/>
                <w:highlight w:val="none"/>
                <w:lang w:val="en-US" w:eastAsia="zh-CN" w:bidi="ar"/>
              </w:rPr>
              <w:t>5</w:t>
            </w:r>
            <w:r>
              <w:rPr>
                <w:rFonts w:hint="eastAsia" w:ascii="宋体" w:hAnsi="宋体"/>
                <w:szCs w:val="21"/>
                <w:highlight w:val="none"/>
                <w:lang w:bidi="ar"/>
              </w:rPr>
              <w:t>分，良：</w:t>
            </w:r>
            <w:r>
              <w:rPr>
                <w:rFonts w:hint="eastAsia" w:ascii="宋体" w:hAnsi="宋体"/>
                <w:szCs w:val="21"/>
                <w:highlight w:val="none"/>
                <w:lang w:val="en-US" w:eastAsia="zh-CN" w:bidi="ar"/>
              </w:rPr>
              <w:t>3</w:t>
            </w:r>
            <w:r>
              <w:rPr>
                <w:rFonts w:hint="eastAsia" w:ascii="宋体" w:hAnsi="宋体"/>
                <w:szCs w:val="21"/>
                <w:highlight w:val="none"/>
                <w:lang w:bidi="ar"/>
              </w:rPr>
              <w:t>分，中：</w:t>
            </w:r>
            <w:r>
              <w:rPr>
                <w:rFonts w:hint="eastAsia" w:ascii="宋体" w:hAnsi="宋体"/>
                <w:szCs w:val="21"/>
                <w:highlight w:val="none"/>
                <w:lang w:val="en-US" w:eastAsia="zh-CN" w:bidi="ar"/>
              </w:rPr>
              <w:t>1</w:t>
            </w:r>
            <w:r>
              <w:rPr>
                <w:rFonts w:hint="eastAsia" w:ascii="宋体" w:hAnsi="宋体"/>
                <w:szCs w:val="21"/>
                <w:highlight w:val="none"/>
                <w:lang w:bidi="ar"/>
              </w:rPr>
              <w:t>分，差：0分。</w:t>
            </w:r>
          </w:p>
          <w:p>
            <w:pPr>
              <w:widowControl/>
              <w:jc w:val="left"/>
              <w:rPr>
                <w:rFonts w:asciiTheme="minorEastAsia" w:hAnsiTheme="minorEastAsia" w:eastAsiaTheme="minorEastAsia" w:cstheme="minorEastAsia"/>
                <w:szCs w:val="21"/>
                <w:highlight w:val="none"/>
              </w:rPr>
            </w:pPr>
            <w:r>
              <w:rPr>
                <w:rFonts w:hint="eastAsia" w:ascii="宋体" w:hAnsi="宋体"/>
                <w:szCs w:val="21"/>
                <w:highlight w:val="none"/>
                <w:lang w:bidi="ar"/>
              </w:rPr>
              <w:t>（须提供增值服务承诺书，未提供得0分）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582" w:type="dxa"/>
            <w:tcBorders>
              <w:top w:val="single" w:color="auto" w:sz="4" w:space="0"/>
            </w:tcBorders>
            <w:vAlign w:val="center"/>
          </w:tcPr>
          <w:p>
            <w:pPr>
              <w:jc w:val="center"/>
              <w:rPr>
                <w:rFonts w:ascii="宋体" w:hAnsi="宋体"/>
                <w:b/>
                <w:highlight w:val="none"/>
              </w:rPr>
            </w:pPr>
            <w:r>
              <w:rPr>
                <w:rFonts w:hint="eastAsia" w:ascii="宋体" w:hAnsi="宋体"/>
                <w:b/>
                <w:highlight w:val="none"/>
              </w:rPr>
              <w:t>二</w:t>
            </w:r>
          </w:p>
        </w:tc>
        <w:tc>
          <w:tcPr>
            <w:tcW w:w="8976" w:type="dxa"/>
            <w:gridSpan w:val="4"/>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商务部分(合计</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tcBorders>
              <w:bottom w:val="single" w:color="auto" w:sz="4" w:space="0"/>
            </w:tcBorders>
            <w:vAlign w:val="center"/>
          </w:tcPr>
          <w:p>
            <w:pPr>
              <w:pStyle w:val="19"/>
              <w:numPr>
                <w:ilvl w:val="0"/>
                <w:numId w:val="0"/>
              </w:numPr>
              <w:ind w:leftChars="0"/>
              <w:jc w:val="both"/>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1368" w:type="dxa"/>
            <w:vAlign w:val="center"/>
          </w:tcPr>
          <w:p>
            <w:pPr>
              <w:widowControl/>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综合实力</w:t>
            </w:r>
          </w:p>
        </w:tc>
        <w:tc>
          <w:tcPr>
            <w:tcW w:w="5946" w:type="dxa"/>
            <w:vAlign w:val="center"/>
          </w:tcPr>
          <w:p>
            <w:pPr>
              <w:widowControl/>
              <w:jc w:val="left"/>
              <w:rPr>
                <w:rFonts w:asciiTheme="minorEastAsia" w:hAnsiTheme="minorEastAsia" w:eastAsiaTheme="minorEastAsia" w:cstheme="minorEastAsia"/>
                <w:b w:val="0"/>
                <w:bCs/>
                <w:szCs w:val="21"/>
                <w:highlight w:val="none"/>
              </w:rPr>
            </w:pPr>
            <w:r>
              <w:rPr>
                <w:rFonts w:ascii="宋体" w:hAnsi="宋体" w:cs="宋体"/>
                <w:b w:val="0"/>
                <w:bCs/>
                <w:color w:val="auto"/>
                <w:sz w:val="21"/>
                <w:szCs w:val="21"/>
                <w:highlight w:val="none"/>
              </w:rPr>
              <w:t>供应商具有有效的质量管理体系认证证书，职业健康安全管理体系认证证书，环境管理体系认证证书，每提供一个证书得1分，</w:t>
            </w:r>
            <w:r>
              <w:rPr>
                <w:rFonts w:ascii="宋体" w:hAnsi="宋体" w:cs="宋体"/>
                <w:b w:val="0"/>
                <w:bCs/>
                <w:sz w:val="21"/>
                <w:szCs w:val="21"/>
                <w:highlight w:val="none"/>
              </w:rPr>
              <w:t>本小项满分3分。（注：响应文件中提供上述认证证书复印件，同时提供上述认证证书通过全国认证认可信息公共服务平台（http://cx.cnca.cn/）查询有效的结果截图并加盖供应商公章，未按要求提供的不得分。）</w:t>
            </w:r>
          </w:p>
        </w:tc>
        <w:tc>
          <w:tcPr>
            <w:tcW w:w="629" w:type="dxa"/>
            <w:tcBorders>
              <w:right w:val="single" w:color="auto" w:sz="4" w:space="0"/>
            </w:tcBorders>
            <w:vAlign w:val="center"/>
          </w:tcPr>
          <w:p>
            <w:pPr>
              <w:ind w:left="-63" w:leftChars="-30" w:right="-88" w:rightChars="-42"/>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582" w:type="dxa"/>
            <w:tcBorders>
              <w:top w:val="single" w:color="auto" w:sz="4" w:space="0"/>
              <w:bottom w:val="single" w:color="auto" w:sz="4" w:space="0"/>
            </w:tcBorders>
            <w:vAlign w:val="center"/>
          </w:tcPr>
          <w:p>
            <w:pPr>
              <w:pStyle w:val="19"/>
              <w:numPr>
                <w:ilvl w:val="0"/>
                <w:numId w:val="0"/>
              </w:numPr>
              <w:ind w:leftChars="0"/>
              <w:jc w:val="both"/>
              <w:rPr>
                <w:rFonts w:hint="eastAsia" w:ascii="宋体" w:hAnsi="宋体" w:eastAsia="宋体"/>
                <w:szCs w:val="21"/>
                <w:highlight w:val="none"/>
                <w:lang w:eastAsia="zh-CN"/>
              </w:rPr>
            </w:pPr>
            <w:r>
              <w:rPr>
                <w:rFonts w:hint="eastAsia" w:ascii="宋体" w:hAnsi="宋体"/>
                <w:szCs w:val="21"/>
                <w:highlight w:val="none"/>
                <w:lang w:val="en-US" w:eastAsia="zh-CN"/>
              </w:rPr>
              <w:t>2</w:t>
            </w:r>
          </w:p>
        </w:tc>
        <w:tc>
          <w:tcPr>
            <w:tcW w:w="1368" w:type="dxa"/>
            <w:vAlign w:val="center"/>
          </w:tcPr>
          <w:p>
            <w:pPr>
              <w:widowControl/>
              <w:jc w:val="center"/>
              <w:rPr>
                <w:rFonts w:asciiTheme="minorEastAsia" w:hAnsiTheme="minorEastAsia" w:eastAsiaTheme="minorEastAsia" w:cstheme="minorEastAsia"/>
                <w:szCs w:val="21"/>
                <w:highlight w:val="none"/>
              </w:rPr>
            </w:pPr>
            <w:r>
              <w:rPr>
                <w:rFonts w:ascii="宋体" w:hAnsi="宋体" w:cs="宋体"/>
                <w:bCs/>
                <w:sz w:val="21"/>
                <w:szCs w:val="21"/>
                <w:highlight w:val="none"/>
              </w:rPr>
              <w:t>同类项目业绩</w:t>
            </w:r>
          </w:p>
        </w:tc>
        <w:tc>
          <w:tcPr>
            <w:tcW w:w="5946" w:type="dxa"/>
            <w:vAlign w:val="center"/>
          </w:tcPr>
          <w:p>
            <w:pPr>
              <w:pStyle w:val="25"/>
              <w:kinsoku w:val="0"/>
              <w:overflowPunct w:val="0"/>
              <w:spacing w:before="165"/>
              <w:rPr>
                <w:rFonts w:ascii="宋体" w:hAnsi="宋体" w:cs="宋体"/>
                <w:b w:val="0"/>
                <w:bCs/>
                <w:sz w:val="21"/>
                <w:szCs w:val="21"/>
                <w:highlight w:val="none"/>
              </w:rPr>
            </w:pPr>
            <w:r>
              <w:rPr>
                <w:rFonts w:ascii="宋体" w:hAnsi="宋体" w:cs="宋体"/>
                <w:b w:val="0"/>
                <w:bCs/>
                <w:sz w:val="21"/>
                <w:szCs w:val="21"/>
                <w:highlight w:val="none"/>
              </w:rPr>
              <w:t>供应商20</w:t>
            </w:r>
            <w:r>
              <w:rPr>
                <w:rFonts w:hint="eastAsia" w:ascii="宋体" w:hAnsi="宋体" w:cs="宋体"/>
                <w:b w:val="0"/>
                <w:bCs/>
                <w:sz w:val="21"/>
                <w:szCs w:val="21"/>
                <w:highlight w:val="none"/>
                <w:lang w:val="en-US" w:eastAsia="zh-CN"/>
              </w:rPr>
              <w:t>20</w:t>
            </w:r>
            <w:r>
              <w:rPr>
                <w:rFonts w:ascii="宋体" w:hAnsi="宋体" w:cs="宋体"/>
                <w:b w:val="0"/>
                <w:bCs/>
                <w:sz w:val="21"/>
                <w:szCs w:val="21"/>
                <w:highlight w:val="none"/>
              </w:rPr>
              <w:t>年1月1日以来已完成的同类项目的业绩，每个得</w:t>
            </w:r>
            <w:r>
              <w:rPr>
                <w:rFonts w:hint="eastAsia" w:ascii="宋体" w:hAnsi="宋体" w:cs="宋体"/>
                <w:b w:val="0"/>
                <w:bCs/>
                <w:sz w:val="21"/>
                <w:szCs w:val="21"/>
                <w:highlight w:val="none"/>
                <w:lang w:val="en-US" w:eastAsia="zh-CN"/>
              </w:rPr>
              <w:t>1</w:t>
            </w:r>
            <w:r>
              <w:rPr>
                <w:rFonts w:ascii="宋体" w:hAnsi="宋体" w:cs="宋体"/>
                <w:b w:val="0"/>
                <w:bCs/>
                <w:sz w:val="21"/>
                <w:szCs w:val="21"/>
                <w:highlight w:val="none"/>
              </w:rPr>
              <w:t>分，累计最高</w:t>
            </w:r>
            <w:r>
              <w:rPr>
                <w:rFonts w:hint="eastAsia" w:ascii="宋体" w:hAnsi="宋体" w:cs="宋体"/>
                <w:b w:val="0"/>
                <w:bCs/>
                <w:sz w:val="21"/>
                <w:szCs w:val="21"/>
                <w:highlight w:val="none"/>
                <w:lang w:val="en-US" w:eastAsia="zh-CN"/>
              </w:rPr>
              <w:t>1</w:t>
            </w:r>
            <w:r>
              <w:rPr>
                <w:rFonts w:ascii="宋体" w:hAnsi="宋体" w:cs="宋体"/>
                <w:b w:val="0"/>
                <w:bCs/>
                <w:sz w:val="21"/>
                <w:szCs w:val="21"/>
                <w:highlight w:val="none"/>
              </w:rPr>
              <w:t>0分。</w:t>
            </w:r>
          </w:p>
          <w:p>
            <w:pPr>
              <w:widowControl/>
              <w:jc w:val="left"/>
              <w:rPr>
                <w:rFonts w:asciiTheme="minorEastAsia" w:hAnsiTheme="minorEastAsia" w:eastAsiaTheme="minorEastAsia" w:cstheme="minorEastAsia"/>
                <w:b w:val="0"/>
                <w:bCs/>
                <w:szCs w:val="21"/>
                <w:highlight w:val="none"/>
              </w:rPr>
            </w:pPr>
            <w:r>
              <w:rPr>
                <w:rFonts w:ascii="宋体" w:hAnsi="宋体" w:cs="宋体"/>
                <w:b w:val="0"/>
                <w:bCs/>
                <w:sz w:val="21"/>
                <w:szCs w:val="21"/>
                <w:highlight w:val="none"/>
              </w:rPr>
              <w:t>（注：响应文件中须附业绩合同关键页复印件并加盖公章，不提供不得分）</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90" w:hRule="atLeast"/>
          <w:jc w:val="center"/>
        </w:trPr>
        <w:tc>
          <w:tcPr>
            <w:tcW w:w="582" w:type="dxa"/>
            <w:tcBorders>
              <w:top w:val="single" w:color="auto" w:sz="4" w:space="0"/>
              <w:bottom w:val="single" w:color="auto" w:sz="4" w:space="0"/>
            </w:tcBorders>
            <w:vAlign w:val="center"/>
          </w:tcPr>
          <w:p>
            <w:pPr>
              <w:pStyle w:val="19"/>
              <w:numPr>
                <w:ilvl w:val="0"/>
                <w:numId w:val="0"/>
              </w:numPr>
              <w:ind w:leftChars="0"/>
              <w:jc w:val="both"/>
              <w:rPr>
                <w:rFonts w:hint="eastAsia" w:ascii="宋体" w:hAnsi="宋体" w:eastAsia="宋体"/>
                <w:szCs w:val="21"/>
                <w:highlight w:val="none"/>
                <w:lang w:eastAsia="zh-CN"/>
              </w:rPr>
            </w:pPr>
            <w:r>
              <w:rPr>
                <w:rFonts w:hint="eastAsia" w:ascii="宋体" w:hAnsi="宋体"/>
                <w:szCs w:val="21"/>
                <w:highlight w:val="none"/>
                <w:lang w:val="en-US" w:eastAsia="zh-CN"/>
              </w:rPr>
              <w:t>3</w:t>
            </w:r>
          </w:p>
        </w:tc>
        <w:tc>
          <w:tcPr>
            <w:tcW w:w="1368" w:type="dxa"/>
            <w:vAlign w:val="center"/>
          </w:tcPr>
          <w:p>
            <w:pPr>
              <w:widowControl/>
              <w:jc w:val="center"/>
              <w:rPr>
                <w:rFonts w:asciiTheme="minorEastAsia" w:hAnsiTheme="minorEastAsia" w:eastAsiaTheme="minorEastAsia" w:cstheme="minorEastAsia"/>
                <w:szCs w:val="21"/>
                <w:highlight w:val="none"/>
              </w:rPr>
            </w:pPr>
            <w:r>
              <w:rPr>
                <w:rFonts w:ascii="宋体" w:hAnsi="宋体" w:cs="宋体"/>
                <w:bCs/>
                <w:sz w:val="21"/>
                <w:szCs w:val="21"/>
                <w:highlight w:val="none"/>
              </w:rPr>
              <w:t>信用评价</w:t>
            </w:r>
          </w:p>
        </w:tc>
        <w:tc>
          <w:tcPr>
            <w:tcW w:w="5946" w:type="dxa"/>
            <w:vAlign w:val="center"/>
          </w:tcPr>
          <w:p>
            <w:pPr>
              <w:widowControl/>
              <w:jc w:val="left"/>
              <w:rPr>
                <w:rFonts w:asciiTheme="minorEastAsia" w:hAnsiTheme="minorEastAsia" w:eastAsiaTheme="minorEastAsia" w:cstheme="minorEastAsia"/>
                <w:b w:val="0"/>
                <w:bCs/>
                <w:szCs w:val="21"/>
                <w:highlight w:val="none"/>
              </w:rPr>
            </w:pPr>
            <w:r>
              <w:rPr>
                <w:rFonts w:ascii="宋体" w:hAnsi="宋体" w:cs="宋体"/>
                <w:b w:val="0"/>
                <w:bCs/>
                <w:sz w:val="21"/>
                <w:szCs w:val="21"/>
                <w:highlight w:val="none"/>
              </w:rPr>
              <w:t>提供由中国人民银行征信中心或合法第三方信用服务机构出具的有效的企业信用报告得2分，响应文件中提供复印件加盖供应商公章，不按要求提供不得分。信用报告中存在失信或违法行为的不得分。注：1、第三方信用服务机构是指按照相关法律法规的规定在中国人民银行进行备案的机构，若提供第三方信用服务机构出具的信用报告须附中国人民银行的备案证明材料，不提供备案证明材料不得分。2、若提供中国人民银行征信中心出具的信用报告，不需要附备案证明材料。3、信用报告须在有效期内。若信用报告中，没有显示有效期的，信用报告须为近一年内开具（以投标截止之日计近一年）。</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分</w:t>
            </w:r>
          </w:p>
        </w:tc>
      </w:tr>
    </w:tbl>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3"/>
        <w:numPr>
          <w:ilvl w:val="0"/>
          <w:numId w:val="1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5"/>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关键</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交货时间：成交供应商应保证充足的货源，保证供货，在收到采购人下单通知后3日内把指定货物交付到中山市小榄人民医院日用品仓库。如收到采购人紧急下单情况的，应在3小时内到货。</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lang w:val="en-US" w:eastAsia="zh-CN"/>
              </w:rPr>
            </w:pPr>
            <w:r>
              <w:rPr>
                <w:rFonts w:hint="eastAsia"/>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供货期限：本项目提供货物总额累计达到预算金额¥225,000.00或项目供货期满，则合同自动终止。成交供应商在实施项目过程中如有违法违规行为的，采购人有权取消其供货资格，造成的损失由成交供应商承担。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widowControl/>
              <w:spacing w:line="360" w:lineRule="auto"/>
              <w:jc w:val="left"/>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擦手纸：</w:t>
            </w:r>
          </w:p>
          <w:p>
            <w:pPr>
              <w:widowControl/>
              <w:spacing w:line="360" w:lineRule="auto"/>
              <w:jc w:val="left"/>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1、材质：100%原生木浆，无香。</w:t>
            </w:r>
          </w:p>
          <w:p>
            <w:pPr>
              <w:widowControl/>
              <w:spacing w:line="360" w:lineRule="auto"/>
              <w:jc w:val="left"/>
              <w:rPr>
                <w:rFonts w:hint="eastAsia" w:asciiTheme="minorEastAsia" w:hAnsiTheme="minorEastAsia" w:eastAsiaTheme="minorEastAsia" w:cstheme="minorEastAsia"/>
                <w:kern w:val="0"/>
                <w:szCs w:val="21"/>
                <w:highlight w:val="none"/>
                <w:lang w:val="zh-TW" w:eastAsia="zh-CN"/>
              </w:rPr>
            </w:pPr>
            <w:r>
              <w:rPr>
                <w:rFonts w:hint="eastAsia" w:asciiTheme="minorEastAsia" w:hAnsiTheme="minorEastAsia" w:eastAsiaTheme="minorEastAsia" w:cstheme="minorEastAsia"/>
                <w:kern w:val="0"/>
                <w:szCs w:val="21"/>
                <w:highlight w:val="none"/>
                <w:lang w:val="en-US" w:eastAsia="zh-CN"/>
              </w:rPr>
              <w:t>2、</w:t>
            </w:r>
            <w:r>
              <w:rPr>
                <w:rFonts w:hint="eastAsia" w:asciiTheme="minorEastAsia" w:hAnsiTheme="minorEastAsia" w:eastAsiaTheme="minorEastAsia" w:cstheme="minorEastAsia"/>
                <w:kern w:val="0"/>
                <w:szCs w:val="21"/>
                <w:highlight w:val="none"/>
                <w:lang w:val="zh-TW" w:eastAsia="zh-CN"/>
              </w:rPr>
              <w:t>投标人在投标现场必须提供第三方检测部门出具的合格检测报告复印件，检测报告的内容可以佐证上述质量要求。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345" w:type="dxa"/>
            <w:vAlign w:val="center"/>
          </w:tcPr>
          <w:p>
            <w:pPr>
              <w:widowControl/>
              <w:spacing w:line="360" w:lineRule="auto"/>
              <w:jc w:val="left"/>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卷纸：</w:t>
            </w:r>
          </w:p>
          <w:p>
            <w:pPr>
              <w:widowControl/>
              <w:spacing w:line="360" w:lineRule="auto"/>
              <w:jc w:val="left"/>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lang w:val="en-US" w:eastAsia="zh-CN"/>
              </w:rPr>
              <w:t>材质：100%原生木浆，无香；符合GB/T 20810 执行标准。</w:t>
            </w:r>
          </w:p>
          <w:p>
            <w:pPr>
              <w:widowControl/>
              <w:spacing w:line="360" w:lineRule="auto"/>
              <w:jc w:val="left"/>
              <w:rPr>
                <w:rFonts w:hint="eastAsia" w:asciiTheme="minorEastAsia" w:hAnsiTheme="minorEastAsia" w:eastAsiaTheme="minorEastAsia" w:cstheme="minorEastAsia"/>
                <w:kern w:val="0"/>
                <w:szCs w:val="21"/>
                <w:highlight w:val="none"/>
                <w:lang w:val="zh-TW" w:eastAsia="zh-CN"/>
              </w:rPr>
            </w:pPr>
            <w:r>
              <w:rPr>
                <w:rFonts w:hint="eastAsia" w:asciiTheme="minorEastAsia" w:hAnsiTheme="minorEastAsia" w:eastAsiaTheme="minorEastAsia" w:cstheme="minorEastAsia"/>
                <w:kern w:val="0"/>
                <w:szCs w:val="21"/>
                <w:highlight w:val="none"/>
                <w:lang w:val="en-US" w:eastAsia="zh-CN"/>
              </w:rPr>
              <w:t>投标人在投标现场必须提供第三方检测部门出具的合格检测报告复印件，检测报告的内容可以佐证上述质量要求。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CN" w:bidi="ar-SA"/>
              </w:rPr>
            </w:pPr>
            <w:r>
              <w:rPr>
                <w:rFonts w:hint="eastAsia" w:asciiTheme="minorEastAsia" w:hAnsiTheme="minorEastAsia" w:eastAsiaTheme="minorEastAsia" w:cstheme="minorEastAsia"/>
                <w:kern w:val="0"/>
                <w:sz w:val="21"/>
                <w:szCs w:val="21"/>
                <w:highlight w:val="none"/>
                <w:lang w:val="zh-TW" w:eastAsia="zh-CN" w:bidi="ar-SA"/>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协议供货期间的价格：各类货物实际供货价=最高单价限价×（1-投标下浮率）。成交价即是合同期间的最终价格，在合同期内，价格不再随着市场同类商品市场价格的调整而进行调整。</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工作日内，由此产生的一切费用由成交供应商承担，如造成采购人经济损失的，采购人有权进行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 w:val="0"/>
                <w:bCs/>
                <w:color w:val="auto"/>
                <w:sz w:val="21"/>
                <w:szCs w:val="21"/>
                <w:highlight w:val="none"/>
                <w:lang w:eastAsia="zh-CN"/>
              </w:rPr>
              <w:t>成交供应商</w:t>
            </w:r>
            <w:r>
              <w:rPr>
                <w:rFonts w:hint="eastAsia" w:ascii="宋体" w:hAnsi="宋体" w:eastAsia="宋体" w:cs="宋体"/>
                <w:b w:val="0"/>
                <w:bCs/>
                <w:color w:val="auto"/>
                <w:sz w:val="21"/>
                <w:szCs w:val="21"/>
                <w:highlight w:val="none"/>
              </w:rPr>
              <w:t>与采购人签署合同后需交</w:t>
            </w:r>
            <w:r>
              <w:rPr>
                <w:rFonts w:hint="eastAsia" w:ascii="宋体" w:hAnsi="宋体" w:cs="宋体"/>
                <w:b w:val="0"/>
                <w:bCs/>
                <w:color w:val="auto"/>
                <w:sz w:val="21"/>
                <w:szCs w:val="21"/>
                <w:highlight w:val="none"/>
                <w:lang w:val="en-US" w:eastAsia="zh-CN"/>
              </w:rPr>
              <w:t>预算总额</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u w:val="single"/>
              </w:rPr>
              <w:t xml:space="preserve"> 5% </w:t>
            </w:r>
            <w:r>
              <w:rPr>
                <w:rFonts w:hint="eastAsia" w:ascii="宋体" w:hAnsi="宋体" w:eastAsia="宋体" w:cs="宋体"/>
                <w:b w:val="0"/>
                <w:bCs/>
                <w:color w:val="auto"/>
                <w:sz w:val="21"/>
                <w:szCs w:val="21"/>
                <w:highlight w:val="none"/>
              </w:rPr>
              <w:t>作为履约保证金。通过银行转账的方式达成</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履约保证金的退还为最后一批送货验收合格后一个月内一次性退还。如有违约事项，采购人根据约定条款扣款，剩余款项予以无息退还余款。</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6345" w:type="dxa"/>
            <w:vAlign w:val="center"/>
          </w:tcPr>
          <w:p>
            <w:pPr>
              <w:pStyle w:val="19"/>
              <w:spacing w:line="360" w:lineRule="auto"/>
              <w:ind w:firstLine="180" w:firstLineChars="100"/>
              <w:rPr>
                <w:rFonts w:hint="eastAsia" w:ascii="宋体" w:hAnsi="宋体" w:eastAsia="宋体" w:cs="宋体"/>
                <w:kern w:val="2"/>
                <w:sz w:val="18"/>
                <w:szCs w:val="21"/>
                <w:lang w:val="zh-TW" w:eastAsia="zh-TW" w:bidi="zh-TW"/>
              </w:rPr>
            </w:pP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重点</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7"/>
        <w:gridCol w:w="533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1087"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采购物品</w:t>
            </w:r>
          </w:p>
        </w:tc>
        <w:tc>
          <w:tcPr>
            <w:tcW w:w="533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87"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擦手纸</w:t>
            </w: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highlight w:val="none"/>
                <w:lang w:val="en-US" w:eastAsia="zh-CN"/>
              </w:rPr>
              <w:t>规格：每包≥200抽，22.5cm×23</w:t>
            </w:r>
            <w:r>
              <w:rPr>
                <w:rFonts w:hint="eastAsia" w:asciiTheme="minorEastAsia" w:hAnsi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lang w:val="en-US" w:eastAsia="zh-CN"/>
              </w:rPr>
              <w:t>cm （长偏差±5㎜；宽偏差±5㎜；偏斜度≤3㎜）。</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highlight w:val="none"/>
                <w:lang w:val="en-US" w:eastAsia="zh-CN"/>
              </w:rPr>
              <w:t>外观：白色、皱纹细腻、均匀，直面洁净、无印花及图案，不应有明显的死皱、残缺、破损、沙子、硬质块、生浆、杂质等纸病，不应有掉粉、掉毛及湿水后粘手、掉色等现象。</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widowControl/>
              <w:spacing w:line="360" w:lineRule="auto"/>
              <w:jc w:val="left"/>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highlight w:val="none"/>
                <w:lang w:val="en-US" w:eastAsia="zh-CN"/>
              </w:rPr>
              <w:t>定量：≥43g/㎡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87"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卷纸</w:t>
            </w: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highlight w:val="none"/>
                <w:lang w:val="en-US" w:eastAsia="zh-CN"/>
              </w:rPr>
              <w:t>规格型号：101mm</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cstheme="minorEastAsia"/>
                <w:color w:val="auto"/>
                <w:szCs w:val="21"/>
                <w:highlight w:val="none"/>
                <w:lang w:val="en-US" w:eastAsia="zh-CN"/>
              </w:rPr>
              <w:t>138</w:t>
            </w:r>
            <w:r>
              <w:rPr>
                <w:rFonts w:hint="eastAsia" w:asciiTheme="minorEastAsia" w:hAnsiTheme="minorEastAsia" w:eastAsiaTheme="minorEastAsia" w:cstheme="minorEastAsia"/>
                <w:color w:val="auto"/>
                <w:szCs w:val="21"/>
                <w:highlight w:val="none"/>
                <w:lang w:val="en-US" w:eastAsia="zh-CN"/>
              </w:rPr>
              <w:t>mm/节（尺寸偏差：长偏差±5㎜；宽偏差±5㎜；偏斜度≤3㎜）；</w:t>
            </w:r>
            <w:r>
              <w:rPr>
                <w:rFonts w:hint="eastAsia" w:asciiTheme="minorEastAsia" w:hAnsiTheme="minorEastAsia" w:cstheme="minorEastAsia"/>
                <w:color w:val="auto"/>
                <w:szCs w:val="21"/>
                <w:highlight w:val="none"/>
                <w:lang w:val="en-US" w:eastAsia="zh-CN"/>
              </w:rPr>
              <w:t>四</w:t>
            </w:r>
            <w:r>
              <w:rPr>
                <w:rFonts w:hint="eastAsia" w:asciiTheme="minorEastAsia" w:hAnsiTheme="minorEastAsia" w:eastAsiaTheme="minorEastAsia" w:cstheme="minorEastAsia"/>
                <w:color w:val="auto"/>
                <w:szCs w:val="21"/>
                <w:highlight w:val="none"/>
                <w:lang w:val="en-US" w:eastAsia="zh-CN"/>
              </w:rPr>
              <w:t>层；10卷/条；≥1</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val="en-US" w:eastAsia="zh-CN"/>
              </w:rPr>
              <w:t>0g/卷。</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color w:val="auto"/>
                <w:szCs w:val="21"/>
                <w:highlight w:val="none"/>
                <w:lang w:val="en-US" w:eastAsia="zh-CN"/>
              </w:rPr>
              <w:t>外观：白色、皱纹细腻、均匀，直面洁净、无印花及图案，不应有明显的死皱、残缺、破损、沙子、硬质块、生浆、杂质等纸病，不应有掉粉、掉毛等现象。</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color w:val="auto"/>
                <w:szCs w:val="21"/>
                <w:highlight w:val="none"/>
                <w:lang w:val="en-US" w:eastAsia="zh-CN"/>
              </w:rPr>
              <w:t>定量：≥1</w:t>
            </w:r>
            <w:r>
              <w:rPr>
                <w:rFonts w:hint="eastAsia" w:asciiTheme="minorEastAsia" w:hAnsi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val="en-US" w:eastAsia="zh-CN"/>
              </w:rPr>
              <w:t>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仿宋" w:hAnsi="仿宋" w:eastAsia="仿宋" w:cs="仿宋"/>
          <w:color w:val="auto"/>
          <w:sz w:val="24"/>
        </w:rPr>
      </w:pPr>
      <w:r>
        <w:rPr>
          <w:rFonts w:hint="eastAsia" w:ascii="仿宋" w:hAnsi="仿宋" w:eastAsia="仿宋" w:cs="仿宋"/>
          <w:color w:val="auto"/>
          <w:sz w:val="24"/>
        </w:rPr>
        <w:t>招标文件中关键条款，投标供应商必须对此作出回答并完全满足这些要求不可以出现任何负偏离，对这些关键条款的任何负偏离将视为无效投标。</w:t>
      </w:r>
      <w:r>
        <w:rPr>
          <w:rFonts w:hint="eastAsia" w:ascii="仿宋" w:hAnsi="仿宋" w:eastAsia="仿宋" w:cs="仿宋"/>
          <w:color w:val="auto"/>
          <w:sz w:val="24"/>
          <w:lang w:val="en-US" w:eastAsia="zh-CN"/>
        </w:rPr>
        <w:t>重点条款</w:t>
      </w:r>
      <w:r>
        <w:rPr>
          <w:rFonts w:hint="eastAsia" w:ascii="仿宋" w:hAnsi="仿宋" w:eastAsia="仿宋" w:cs="仿宋"/>
          <w:color w:val="auto"/>
          <w:sz w:val="24"/>
        </w:rPr>
        <w:t>为重点评标项目，投标供应商必须对该标识项目按照要求进行真实应答描述。</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7"/>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仿宋" w:hAnsi="仿宋" w:eastAsia="仿宋" w:cs="仿宋"/>
          <w:color w:val="auto"/>
          <w:sz w:val="24"/>
          <w:lang w:val="en-US" w:eastAsia="zh-CN"/>
        </w:rPr>
      </w:pPr>
    </w:p>
    <w:p>
      <w:pPr>
        <w:pStyle w:val="2"/>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备注：下浮率：（最高单价现价-报价）/最高单价现价*100%</w:t>
      </w:r>
      <w:bookmarkStart w:id="6" w:name="_GoBack"/>
      <w:bookmarkEnd w:id="6"/>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4"/>
        <w:tabs>
          <w:tab w:val="center" w:pos="4450"/>
          <w:tab w:val="left" w:pos="6396"/>
        </w:tabs>
        <w:jc w:val="center"/>
        <w:rPr>
          <w:rFonts w:hint="eastAsia" w:ascii="宋体" w:hAnsi="宋体" w:eastAsia="宋体" w:cs="宋体"/>
        </w:rPr>
      </w:pPr>
    </w:p>
    <w:p>
      <w:pPr>
        <w:pStyle w:val="4"/>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6"/>
        </w:numPr>
        <w:ind w:left="425" w:leftChars="0" w:hanging="425" w:firstLineChars="0"/>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DCC38"/>
    <w:multiLevelType w:val="singleLevel"/>
    <w:tmpl w:val="9DCDCC38"/>
    <w:lvl w:ilvl="0" w:tentative="0">
      <w:start w:val="1"/>
      <w:numFmt w:val="decimal"/>
      <w:lvlText w:val="%1."/>
      <w:lvlJc w:val="left"/>
      <w:pPr>
        <w:ind w:left="425" w:hanging="425"/>
      </w:pPr>
      <w:rPr>
        <w:rFonts w:hint="default"/>
      </w:rPr>
    </w:lvl>
  </w:abstractNum>
  <w:abstractNum w:abstractNumId="1">
    <w:nsid w:val="A1E5ED39"/>
    <w:multiLevelType w:val="singleLevel"/>
    <w:tmpl w:val="A1E5ED39"/>
    <w:lvl w:ilvl="0" w:tentative="0">
      <w:start w:val="3"/>
      <w:numFmt w:val="chineseCounting"/>
      <w:suff w:val="space"/>
      <w:lvlText w:val="第%1部分"/>
      <w:lvlJc w:val="left"/>
      <w:rPr>
        <w:rFonts w:hint="eastAsia"/>
      </w:rPr>
    </w:lvl>
  </w:abstractNum>
  <w:abstractNum w:abstractNumId="2">
    <w:nsid w:val="A212499C"/>
    <w:multiLevelType w:val="singleLevel"/>
    <w:tmpl w:val="A212499C"/>
    <w:lvl w:ilvl="0" w:tentative="0">
      <w:start w:val="1"/>
      <w:numFmt w:val="decimal"/>
      <w:lvlText w:val="%1."/>
      <w:lvlJc w:val="left"/>
      <w:pPr>
        <w:ind w:left="425" w:hanging="425"/>
      </w:pPr>
      <w:rPr>
        <w:rFonts w:hint="default"/>
      </w:rPr>
    </w:lvl>
  </w:abstractNum>
  <w:abstractNum w:abstractNumId="3">
    <w:nsid w:val="D231ACB9"/>
    <w:multiLevelType w:val="singleLevel"/>
    <w:tmpl w:val="D231ACB9"/>
    <w:lvl w:ilvl="0" w:tentative="0">
      <w:start w:val="1"/>
      <w:numFmt w:val="decimal"/>
      <w:lvlText w:val="%1."/>
      <w:lvlJc w:val="left"/>
      <w:pPr>
        <w:tabs>
          <w:tab w:val="left" w:pos="312"/>
        </w:tabs>
      </w:pPr>
    </w:lvl>
  </w:abstractNum>
  <w:abstractNum w:abstractNumId="4">
    <w:nsid w:val="D564C85F"/>
    <w:multiLevelType w:val="multilevel"/>
    <w:tmpl w:val="D564C85F"/>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DEF24088"/>
    <w:multiLevelType w:val="singleLevel"/>
    <w:tmpl w:val="DEF24088"/>
    <w:lvl w:ilvl="0" w:tentative="0">
      <w:start w:val="1"/>
      <w:numFmt w:val="decimal"/>
      <w:lvlText w:val="%1."/>
      <w:lvlJc w:val="left"/>
      <w:pPr>
        <w:ind w:left="425" w:hanging="425"/>
      </w:pPr>
      <w:rPr>
        <w:rFonts w:hint="default"/>
      </w:rPr>
    </w:lvl>
  </w:abstractNum>
  <w:abstractNum w:abstractNumId="6">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7">
    <w:nsid w:val="F0FC8FD9"/>
    <w:multiLevelType w:val="multilevel"/>
    <w:tmpl w:val="F0FC8FD9"/>
    <w:lvl w:ilvl="0" w:tentative="0">
      <w:start w:val="1"/>
      <w:numFmt w:val="decimal"/>
      <w:lvlText w:val="%1."/>
      <w:lvlJc w:val="left"/>
      <w:pPr>
        <w:ind w:left="425" w:hanging="425"/>
      </w:pPr>
      <w:rPr>
        <w:rFonts w:hint="default"/>
      </w:rPr>
    </w:lvl>
    <w:lvl w:ilvl="1" w:tentative="0">
      <w:start w:val="4"/>
      <w:numFmt w:val="decimal"/>
      <w:isLgl/>
      <w:lvlText w:val="%1.%2"/>
      <w:lvlJc w:val="left"/>
      <w:pPr>
        <w:ind w:left="405" w:hanging="40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8">
    <w:nsid w:val="0C69D465"/>
    <w:multiLevelType w:val="singleLevel"/>
    <w:tmpl w:val="0C69D465"/>
    <w:lvl w:ilvl="0" w:tentative="0">
      <w:start w:val="1"/>
      <w:numFmt w:val="decimal"/>
      <w:lvlText w:val="(%1)"/>
      <w:lvlJc w:val="left"/>
      <w:pPr>
        <w:ind w:left="425" w:hanging="425"/>
      </w:pPr>
      <w:rPr>
        <w:rFonts w:hint="default"/>
      </w:rPr>
    </w:lvl>
  </w:abstractNum>
  <w:abstractNum w:abstractNumId="9">
    <w:nsid w:val="10F77700"/>
    <w:multiLevelType w:val="multilevel"/>
    <w:tmpl w:val="10F77700"/>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3CD5DE1"/>
    <w:multiLevelType w:val="multilevel"/>
    <w:tmpl w:val="13CD5D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12">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13">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4">
    <w:nsid w:val="6668BF69"/>
    <w:multiLevelType w:val="singleLevel"/>
    <w:tmpl w:val="6668BF69"/>
    <w:lvl w:ilvl="0" w:tentative="0">
      <w:start w:val="1"/>
      <w:numFmt w:val="decimal"/>
      <w:lvlText w:val="%1."/>
      <w:lvlJc w:val="left"/>
      <w:pPr>
        <w:ind w:left="425" w:hanging="425"/>
      </w:pPr>
      <w:rPr>
        <w:rFonts w:hint="default"/>
      </w:rPr>
    </w:lvl>
  </w:abstractNum>
  <w:abstractNum w:abstractNumId="15">
    <w:nsid w:val="6FEF5E58"/>
    <w:multiLevelType w:val="singleLevel"/>
    <w:tmpl w:val="6FEF5E58"/>
    <w:lvl w:ilvl="0" w:tentative="0">
      <w:start w:val="1"/>
      <w:numFmt w:val="decimal"/>
      <w:lvlText w:val="%1."/>
      <w:lvlJc w:val="left"/>
      <w:pPr>
        <w:ind w:left="425" w:hanging="425"/>
      </w:pPr>
      <w:rPr>
        <w:rFonts w:hint="default"/>
      </w:rPr>
    </w:lvl>
  </w:abstractNum>
  <w:abstractNum w:abstractNumId="16">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6"/>
  </w:num>
  <w:num w:numId="2">
    <w:abstractNumId w:val="12"/>
  </w:num>
  <w:num w:numId="3">
    <w:abstractNumId w:val="13"/>
  </w:num>
  <w:num w:numId="4">
    <w:abstractNumId w:val="8"/>
  </w:num>
  <w:num w:numId="5">
    <w:abstractNumId w:val="16"/>
  </w:num>
  <w:num w:numId="6">
    <w:abstractNumId w:val="10"/>
  </w:num>
  <w:num w:numId="7">
    <w:abstractNumId w:val="4"/>
  </w:num>
  <w:num w:numId="8">
    <w:abstractNumId w:val="9"/>
  </w:num>
  <w:num w:numId="9">
    <w:abstractNumId w:val="14"/>
  </w:num>
  <w:num w:numId="10">
    <w:abstractNumId w:val="5"/>
  </w:num>
  <w:num w:numId="11">
    <w:abstractNumId w:val="7"/>
  </w:num>
  <w:num w:numId="12">
    <w:abstractNumId w:val="2"/>
  </w:num>
  <w:num w:numId="13">
    <w:abstractNumId w:val="0"/>
  </w:num>
  <w:num w:numId="14">
    <w:abstractNumId w:val="3"/>
  </w:num>
  <w:num w:numId="15">
    <w:abstractNumId w:val="1"/>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81F74CC"/>
    <w:rsid w:val="29244CA4"/>
    <w:rsid w:val="30EF160C"/>
    <w:rsid w:val="37547E2F"/>
    <w:rsid w:val="3AD0127C"/>
    <w:rsid w:val="3FC2617B"/>
    <w:rsid w:val="41FA65F1"/>
    <w:rsid w:val="56866FF4"/>
    <w:rsid w:val="5CED35B2"/>
    <w:rsid w:val="6402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toc 5"/>
    <w:basedOn w:val="1"/>
    <w:next w:val="1"/>
    <w:qFormat/>
    <w:uiPriority w:val="0"/>
    <w:pPr>
      <w:ind w:left="840"/>
      <w:jc w:val="left"/>
    </w:pPr>
    <w:rPr>
      <w:rFonts w:ascii="Calibri" w:hAnsi="Calibri"/>
      <w:sz w:val="18"/>
      <w:szCs w:val="18"/>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5">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8515</Words>
  <Characters>9008</Characters>
  <Lines>0</Lines>
  <Paragraphs>0</Paragraphs>
  <TotalTime>0</TotalTime>
  <ScaleCrop>false</ScaleCrop>
  <LinksUpToDate>false</LinksUpToDate>
  <CharactersWithSpaces>9315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2023-04-04T09:16:44Z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458626D67B3B47FBBC1232D4543C5235</vt:lpwstr>
  </property>
</Properties>
</file>