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制造商</w:t>
            </w:r>
            <w:r>
              <w:rPr>
                <w:rFonts w:hint="eastAsia"/>
                <w:sz w:val="28"/>
                <w:szCs w:val="28"/>
              </w:rPr>
              <w:t>/品牌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产地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951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总价（元）</w:t>
            </w:r>
          </w:p>
        </w:tc>
        <w:tc>
          <w:tcPr>
            <w:tcW w:w="5300" w:type="dxa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4"/>
        </w:rPr>
      </w:pPr>
      <w:r>
        <w:rPr>
          <w:rFonts w:hint="eastAsia"/>
          <w:b/>
          <w:bCs/>
          <w:color w:val="0000FF"/>
          <w:sz w:val="24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4"/>
        </w:rPr>
      </w:pPr>
      <w:r>
        <w:rPr>
          <w:rFonts w:hint="eastAsia"/>
          <w:b/>
          <w:bCs/>
          <w:color w:val="0000FF"/>
          <w:sz w:val="24"/>
          <w:lang w:val="en-US" w:eastAsia="zh-CN"/>
        </w:rPr>
        <w:t>报价单、</w:t>
      </w:r>
      <w:r>
        <w:rPr>
          <w:rFonts w:hint="eastAsia"/>
          <w:b/>
          <w:bCs/>
          <w:color w:val="0000FF"/>
          <w:sz w:val="24"/>
        </w:rPr>
        <w:t>产品参数</w:t>
      </w:r>
      <w:r>
        <w:rPr>
          <w:rFonts w:hint="eastAsia"/>
          <w:b/>
          <w:bCs/>
          <w:color w:val="0000FF"/>
          <w:sz w:val="24"/>
          <w:lang w:val="en-US" w:eastAsia="zh-CN"/>
        </w:rPr>
        <w:t>/彩页</w:t>
      </w:r>
      <w:r>
        <w:rPr>
          <w:rFonts w:hint="eastAsia"/>
          <w:b/>
          <w:bCs/>
          <w:color w:val="0000FF"/>
          <w:sz w:val="24"/>
          <w:lang w:eastAsia="zh-CN"/>
        </w:rPr>
        <w:t>、</w:t>
      </w:r>
      <w:r>
        <w:rPr>
          <w:rFonts w:hint="eastAsia"/>
          <w:b/>
          <w:bCs/>
          <w:color w:val="0000FF"/>
          <w:sz w:val="24"/>
        </w:rPr>
        <w:t>配置清单、医疗器械注册证</w:t>
      </w:r>
      <w:r>
        <w:rPr>
          <w:rFonts w:hint="eastAsia"/>
          <w:b/>
          <w:bCs/>
          <w:color w:val="0000FF"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440" w:lineRule="exact"/>
        <w:rPr>
          <w:rFonts w:hint="default" w:eastAsia="宋体"/>
          <w:b/>
          <w:bCs/>
          <w:color w:val="0000FF"/>
          <w:sz w:val="24"/>
          <w:u w:val="single"/>
          <w:lang w:val="en-US" w:eastAsia="zh-CN"/>
        </w:rPr>
      </w:pPr>
      <w:r>
        <w:rPr>
          <w:rFonts w:hint="eastAsia"/>
          <w:b/>
          <w:bCs/>
          <w:color w:val="0000FF"/>
          <w:sz w:val="24"/>
          <w:lang w:val="en-US" w:eastAsia="zh-CN"/>
        </w:rPr>
        <w:t>备注：</w:t>
      </w:r>
      <w:r>
        <w:rPr>
          <w:rFonts w:hint="eastAsia"/>
          <w:b/>
          <w:bCs/>
          <w:color w:val="0000FF"/>
          <w:sz w:val="24"/>
          <w:lang w:val="en-US" w:eastAsia="zh-CN"/>
        </w:rPr>
        <w:fldChar w:fldCharType="begin"/>
      </w:r>
      <w:r>
        <w:rPr>
          <w:rFonts w:hint="eastAsia"/>
          <w:b/>
          <w:bCs/>
          <w:color w:val="0000FF"/>
          <w:sz w:val="24"/>
          <w:lang w:val="en-US" w:eastAsia="zh-CN"/>
        </w:rPr>
        <w:instrText xml:space="preserve"> HYPERLINK "mailto:每套设备分别做一份资料，打包电子版扫描件发送至yxzb2520@126.com," </w:instrText>
      </w:r>
      <w:r>
        <w:rPr>
          <w:rFonts w:hint="eastAsia"/>
          <w:b/>
          <w:bCs/>
          <w:color w:val="0000FF"/>
          <w:sz w:val="24"/>
          <w:lang w:val="en-US" w:eastAsia="zh-CN"/>
        </w:rPr>
        <w:fldChar w:fldCharType="separate"/>
      </w:r>
      <w:r>
        <w:rPr>
          <w:rStyle w:val="11"/>
          <w:rFonts w:hint="eastAsia"/>
          <w:b/>
          <w:bCs/>
          <w:sz w:val="24"/>
          <w:lang w:val="en-US" w:eastAsia="zh-CN"/>
        </w:rPr>
        <w:t>每套设备分别做一份资料，打包电子版扫描件发送至 yxzb2520@126.com</w:t>
      </w:r>
      <w:r>
        <w:rPr>
          <w:rFonts w:hint="eastAsia"/>
          <w:b/>
          <w:bCs/>
          <w:color w:val="0000FF"/>
          <w:sz w:val="24"/>
          <w:lang w:val="en-US" w:eastAsia="zh-CN"/>
        </w:rPr>
        <w:fldChar w:fldCharType="end"/>
      </w:r>
      <w:r>
        <w:rPr>
          <w:rFonts w:hint="eastAsia"/>
          <w:b/>
          <w:bCs/>
          <w:color w:val="0000FF"/>
          <w:sz w:val="24"/>
          <w:lang w:val="en-US" w:eastAsia="zh-CN"/>
        </w:rPr>
        <w:t>。邮件名称：</w:t>
      </w:r>
      <w:r>
        <w:rPr>
          <w:rFonts w:hint="eastAsia"/>
          <w:b/>
          <w:bCs/>
          <w:color w:val="0000FF"/>
          <w:sz w:val="24"/>
          <w:u w:val="single"/>
          <w:lang w:val="en-US" w:eastAsia="zh-CN"/>
        </w:rPr>
        <w:t>设备名称+公司名称。</w:t>
      </w:r>
    </w:p>
    <w:p>
      <w:pPr>
        <w:spacing w:line="440" w:lineRule="exact"/>
        <w:rPr>
          <w:rFonts w:hint="eastAsia"/>
          <w:b/>
          <w:bCs/>
          <w:color w:val="0000FF"/>
          <w:sz w:val="24"/>
        </w:rPr>
      </w:pPr>
    </w:p>
    <w:p>
      <w:pPr>
        <w:spacing w:line="440" w:lineRule="exact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/>
              </w:rPr>
              <w:t>综合诊疗台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（简单说明：产品用途、功能要求、配置要求、保修服务或特殊场地使用等情形）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参数配置：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1、工作主台面：台面尺寸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980mm*580mm*800mm，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12mm厚高强度钢化玻璃，采用网板丝印技术上色，色泽均匀，抗挠抗压力强，安全性能高；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2、箱体：带一体式计算机储物柜，箱体采用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2.0mm钢板由数控设备加工成型，整机内外面环保烤漆；设计合理、坚固耐用，能防腐蚀、防划痕，外观时尚、操作方便、符合人机工程学；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3、智能薄膜开关控制系统：自动控制各项功能，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2小时不启用自动断电设计；喷枪和吸枪即提即用智能化设计，采用进口非接触感应式开关，更加安全可靠；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4、药物喷枪：二直一弯，气水路分开，采用进口阀门控制气路，喷枪金属部分全部采用304不锈钢抗氧化堵塞；枪头快速更换，枪体轻巧，喷雾均匀，杜绝漏气、滴水、堵塞、氧化腐蚀等现象的发生；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5、多功能吸枪：有自控调节型适用适用于耳道吸引和手术用鼻腔咽喉吸引手柄，吸引枪即提即用，无需等待，缩短治疗时间；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6、标配进口正压泵：性能稳定，噪音小≤40dB，最高压力为300KPa以上，正压泵用消音处理，具有良好的消音减震性能；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7、负压泵：性能稳定，噪音小≤40dB，最高吸引力为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760mmHg，带消音减震装置，使用寿命长；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8、LED检查灯：照度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10000Lux，色温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3000K暖黄色光源，无发热感，方便操作者直接或间接观察患者。带阻力平衡支臂，定位准确。有保护控制系统，两小时内，无人操作时自动关电；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9、正负压力表：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52mm直径，不锈钢材质，美观实用；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10、加热除雾装置：功率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900W，加热快，且工作时间可选择，在固定的工作时间自动停止工作，起到有效的保护作用；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11、污染器械收纳装置：箱体内置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2个污染器械收纳装置，实用性强，后续处理简单，空间合理运用；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12、器械盘：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417mm *294mm不锈钢器械盘；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13、吸引管：可高温高压消毒不锈钢吸引管；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14、LED观片灯组件：一套,亮度可调，感应式开关；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15、配置要求：</w:t>
            </w:r>
          </w:p>
          <w:tbl>
            <w:tblPr>
              <w:tblStyle w:val="8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0"/>
              <w:gridCol w:w="3417"/>
              <w:gridCol w:w="1439"/>
              <w:gridCol w:w="138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2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 w:themeFill="background1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单位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工作主台面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全钢环保烤漆机柜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智能控制系统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防泄漏喷枪（直）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防泄漏喷枪（弯）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多功能吸枪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吸引管（2.0 3.0 手术用2.0，手术用3.0 ）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加热除雾装置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不锈钢器械盘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污染器械收纳装置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11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CE标准要求电路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12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进口正压泵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13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独立悬挂负压泵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14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LED检查灯360度旋转灯臂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15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污染液收纳装置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手术用吸引手柄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49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24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吸引管适配器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只</w:t>
                  </w:r>
                </w:p>
              </w:tc>
            </w:tr>
          </w:tbl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保修要求：中标供应商须提供设备原厂质保至少为</w:t>
            </w: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半导体激光治疗仪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一．主要参数</w:t>
            </w:r>
          </w:p>
          <w:p>
            <w:pPr>
              <w:tabs>
                <w:tab w:val="left" w:pos="198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1．功率输出： 单支输出激光功率：1mw＜p≤50mw</w:t>
            </w:r>
          </w:p>
          <w:p>
            <w:pPr>
              <w:tabs>
                <w:tab w:val="left" w:pos="198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2．激光波长： 650nm±20nm</w:t>
            </w:r>
          </w:p>
          <w:p>
            <w:pPr>
              <w:tabs>
                <w:tab w:val="left" w:pos="198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3．通    道： 双路输出</w:t>
            </w:r>
          </w:p>
          <w:p>
            <w:pPr>
              <w:tabs>
                <w:tab w:val="left" w:pos="198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4．输出方式： 采用光纤导光头</w:t>
            </w:r>
          </w:p>
          <w:p>
            <w:pPr>
              <w:tabs>
                <w:tab w:val="left" w:pos="198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5．定时控制：激光照射治疗仪有定时控制功能，每增加5分钟为一档，共六档，误差是5分钟±1分钟，定时结束后应能切断激光输出。</w:t>
            </w:r>
          </w:p>
          <w:p>
            <w:pPr>
              <w:pStyle w:val="12"/>
              <w:numPr>
                <w:numId w:val="0"/>
              </w:numPr>
              <w:tabs>
                <w:tab w:val="left" w:pos="1985"/>
              </w:tabs>
              <w:spacing w:line="360" w:lineRule="auto"/>
              <w:ind w:left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24"/>
              </w:rPr>
              <w:t>激光输出强度控制：激光照射治疗仪有照射强度控制功能，每增加一档，单支激光功率。增加约3mw，误差是±20%，共十档，最大输出激光功率为50mw。</w:t>
            </w:r>
          </w:p>
          <w:p>
            <w:pPr>
              <w:tabs>
                <w:tab w:val="left" w:pos="1985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7.配置要求：</w:t>
            </w:r>
            <w:bookmarkStart w:id="0" w:name="_GoBack"/>
            <w:bookmarkEnd w:id="0"/>
          </w:p>
          <w:tbl>
            <w:tblPr>
              <w:tblStyle w:val="8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0"/>
              <w:gridCol w:w="2844"/>
              <w:gridCol w:w="1620"/>
              <w:gridCol w:w="14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2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名称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单位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主机壳体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套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充电电源适配器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台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激光治疗头电缆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根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熔断器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万向摇臂支架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把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蓄电池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块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参数显示电路部件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套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激光控制电路部件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套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688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2060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充放电管理电路部件</w:t>
                  </w:r>
                </w:p>
              </w:tc>
              <w:tc>
                <w:tcPr>
                  <w:tcW w:w="1173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套</w:t>
                  </w:r>
                </w:p>
              </w:tc>
              <w:tc>
                <w:tcPr>
                  <w:tcW w:w="1079" w:type="pct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</w:tbl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8.保修要求：中标供应商须提供设备原厂质保至少为 1 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27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27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鼻手术器械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27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275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详见附件清单。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保修要求：中标供应商须提供设备原厂质保</w:t>
            </w: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附件：鼻手术器械采购清单</w:t>
      </w:r>
    </w:p>
    <w:tbl>
      <w:tblPr>
        <w:tblStyle w:val="8"/>
        <w:tblW w:w="870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03"/>
        <w:gridCol w:w="4863"/>
        <w:gridCol w:w="868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规格要求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鼻窦镜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斜视、70度、直径≥4mm、长度≥175mm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尖头，0度，直径≥2mm，长度≥130mm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尖头，45°直径≥2mm，长度≥130mm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30度，推杆式，直径≥2mm，长度≥130mm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反咬 ，直径≥2.5mm，长度≥130mm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直剪，直径≥2mm，长度≥130mm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反咬 ，旋转，直径≥2mm，长度≥130mm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鼻异物钳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圆头，下弯115度，直径≥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尖头，0度，直径≥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尖头，30度，直径≥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尖头，45度，直径≥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尖头，90度，直径≥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鼻窦组织钳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上下开口，直径≥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mm，长度≥130mm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直径≤4mm，长度≥165mm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蝶窦咬骨钳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可旋转90度 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鼻（窦）息肉钳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0度，直径≤4 mm ，长度≥140mm,带吸引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蝶窦口扩大钳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0度，直径≤4 mm</w:t>
            </w:r>
            <w:r>
              <w:rPr>
                <w:rStyle w:val="16"/>
                <w:rFonts w:hint="default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</w:t>
            </w:r>
            <w:r>
              <w:rPr>
                <w:rStyle w:val="16"/>
                <w:rFonts w:hint="default"/>
              </w:rPr>
              <w:t>180mm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上颌窦探针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双头,直径≤2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上颌窦探针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双头,直径≤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长度≥210mm一端带钩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长度≥125mm(方手柄)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长度≥125mm(方手柄)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钩状, 直径≤4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长度≥140mm(方手柄)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长度≤125mm(方手柄)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长度≤125mm(方手柄)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鼻腔吸引管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 mm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长度≥175mm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带吸引,直径≤4 mm，长度≥1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30mm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 mm，长度≥165mm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鼻窦手术器械消毒盒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长度≥360*260*90mm（三层）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耳手术器械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详见附件清单。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保修要求：中标供应商须提供设备原厂质保至少为</w:t>
            </w: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附件：耳手术器械采购清单</w:t>
      </w:r>
    </w:p>
    <w:tbl>
      <w:tblPr>
        <w:tblStyle w:val="8"/>
        <w:tblW w:w="870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22"/>
        <w:gridCol w:w="4836"/>
        <w:gridCol w:w="641"/>
        <w:gridCol w:w="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规格要求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0度，直径≤3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，长度≥105mm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30度，直径≤3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，长度≥105mm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 尖头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卵圆口微弯,直径≤1.5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长度1.2mm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卵圆口微弯，直径≤2.2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长度≥1.8mm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微弯 ，头端长度≤3mm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 ，头端长度≤1.8mm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弯型，直径≤3.5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(带手柄)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弯型，直径≤5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(带手柄)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微弯型，直径≤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(带手柄)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弯型，直径≤3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，带减压阀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弯型，直径≤1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.5mm,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，带减压阀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弯型，直径≤0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.8mm,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带减压阀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卵圆口微弯 ，直径≥0.9mm，长度≥2mm 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卵圆口微弯 ，直径≥2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 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镰状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头端直径≤0.5 用于耳蜗电极筋膜填补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25度弯型探针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直切0度，直径≥2mm探针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45度，直径≥2mm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90度，直径≥2mm，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显微耳钩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90度，长度≥0.6mm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显微耳钩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90度，长度≥1.5mm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 尖头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显微耳钩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45度，直径≤1.2mm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卵圆口微弯,直径≤ 1.5，长度≥1.2mm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卵圆口微弯，直径≤ 2.2，长度≥1.8mm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微弯 ，直径≤2mm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平凿子，直径≥3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圆凿子,直径≥3m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乳突器械敲击锤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小号,直径≤1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5mm,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中耳息肉钳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麦粒头，头端≥5mm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中耳息肉钳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麦粒头，上翘30度，头端≤5mm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中耳息肉钳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杯形头, 上翘45度，头端≥1.5mm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中耳息肉钳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杯形头，0度，头端≥1.2mm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中耳息肉剪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耳用槌骨咬骨剪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微弯，直径≤2mm，长度≥8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弯，带减压阀，直径≤2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弯，带减压阀，直径≤1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五官科吸引管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弯，带减压阀，直径≤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mm，长度≥8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耳异物钳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大麦粒头,头宽3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耳科器械包消毒盒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长度≥450*200*75mm(双层)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耳内窥镜消毒盒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长度≥300*80*52mm(网状)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支撑喉镜手术器械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详见附件清单。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保修要求：中标供应商须提供设备原厂质保</w:t>
            </w:r>
            <w:r>
              <w:rPr>
                <w:rFonts w:ascii="宋体" w:hAnsi="宋体"/>
                <w:color w:val="000000" w:themeColor="text1"/>
                <w:sz w:val="24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附件：支撑喉镜手术器械采购清单</w:t>
      </w:r>
    </w:p>
    <w:tbl>
      <w:tblPr>
        <w:tblStyle w:val="8"/>
        <w:tblW w:w="84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29"/>
        <w:gridCol w:w="4836"/>
        <w:gridCol w:w="693"/>
        <w:gridCol w:w="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规格要求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支撑架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直径≥350mm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扩张式,配12度斜视喉镜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大(配12度镜)，长度≥1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75mm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小(配12度镜)长度≥1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75mm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喉内窥镜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12度，直径≥4，长度≥18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mm，斜视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灯芯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度喉镜用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导光束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直径≤4.5，长度≥1800mm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高频电凝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直径≤3，平口，60°，单极， 鼻用带吸引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高频电凝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直径≤3平口，0°，单极， 鼻用带吸引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高频电凝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直径≤5*170mm平口头弯45°双极 鼻用 带吸引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高频线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单极线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高频线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双极线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30度型，直径≤2，长度≥230mm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切割型，直径≤2，长度≥230mm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三角头型，45度，长度≥230mm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左弯，直径≤2，长度≥230mm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显微喉剪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右弯，直径≤2，长度≥230mm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喉息肉钳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45度左开型，直径≤2，长度≥230mm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喉息肉钳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45度右开型，直径≤2，长度≥230mm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支撑喉镜消毒盒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长度≥435*210*90mm(二层)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喉内窥镜消毒盒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长度≥350*120*70mm(网状)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</w:tr>
    </w:tbl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0B07EEA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BE4A06"/>
    <w:rsid w:val="2E712EDD"/>
    <w:rsid w:val="2EBD544A"/>
    <w:rsid w:val="2EE55694"/>
    <w:rsid w:val="2F4263DE"/>
    <w:rsid w:val="2F980E41"/>
    <w:rsid w:val="2FB36F7C"/>
    <w:rsid w:val="32A966F2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520</Words>
  <Characters>585</Characters>
  <Lines>5</Lines>
  <Paragraphs>1</Paragraphs>
  <TotalTime>2</TotalTime>
  <ScaleCrop>false</ScaleCrop>
  <LinksUpToDate>false</LinksUpToDate>
  <CharactersWithSpaces>671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2023-03-28T00:48:07Z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B8A7B71C8A5A4723B7DA1B3F330F01D7</vt:lpwstr>
  </property>
</Properties>
</file>