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rPr>
      </w:pPr>
    </w:p>
    <w:p>
      <w:pPr>
        <w:widowControl/>
        <w:spacing w:line="360" w:lineRule="auto"/>
        <w:ind w:firstLine="2168" w:firstLineChars="600"/>
        <w:jc w:val="both"/>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项目名称：盐类协议供货服务一年采购项目</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项目编号：XLYY20230533</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03</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综合评审最优</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总预算金额（元）：¥254</w:t>
      </w:r>
      <w:r>
        <w:rPr>
          <w:rFonts w:hint="eastAsia" w:cs="宋体"/>
          <w:color w:val="auto"/>
          <w:sz w:val="27"/>
          <w:szCs w:val="27"/>
          <w:highlight w:val="none"/>
          <w:shd w:val="clear" w:color="auto" w:fill="FFFFFF"/>
          <w:lang w:val="en-US" w:eastAsia="zh-CN"/>
        </w:rPr>
        <w:t>,</w:t>
      </w:r>
      <w:r>
        <w:rPr>
          <w:rFonts w:hint="eastAsia" w:ascii="宋体" w:hAnsi="宋体" w:eastAsia="宋体" w:cs="宋体"/>
          <w:color w:val="auto"/>
          <w:sz w:val="27"/>
          <w:szCs w:val="27"/>
          <w:highlight w:val="none"/>
          <w:shd w:val="clear" w:color="auto" w:fill="FFFFFF"/>
        </w:rPr>
        <w:t>470.00元</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盐类协议供货服务一年采购项目</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254470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《用户需求书》</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2023年3月22日16:00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6份（1正5副）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w:t>
      </w:r>
      <w:r>
        <w:rPr>
          <w:rFonts w:hint="eastAsia" w:cs="宋体"/>
          <w:i w:val="0"/>
          <w:iCs w:val="0"/>
          <w:caps w:val="0"/>
          <w:color w:val="auto"/>
          <w:spacing w:val="0"/>
          <w:sz w:val="27"/>
          <w:szCs w:val="27"/>
          <w:highlight w:val="none"/>
          <w:shd w:val="clear" w:fill="FFFFFF"/>
          <w:vertAlign w:val="baseline"/>
          <w:lang w:val="en-US" w:eastAsia="zh-CN"/>
        </w:rPr>
        <w:t>缺一不可</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请各供应商按照以下要求提供完整的响应文件（一式六份，一正五副），供采购人进行预审核：</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3月15日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23"/>
        <w:tabs>
          <w:tab w:val="left" w:pos="840"/>
        </w:tabs>
        <w:jc w:val="center"/>
        <w:rPr>
          <w:rFonts w:hint="eastAsia" w:ascii="宋体" w:hAnsi="宋体" w:eastAsia="宋体" w:cs="宋体"/>
          <w:sz w:val="32"/>
          <w:szCs w:val="21"/>
        </w:rPr>
      </w:pPr>
      <w:r>
        <w:rPr>
          <w:rFonts w:hint="eastAsia" w:ascii="宋体" w:hAnsi="宋体" w:eastAsia="宋体" w:cs="宋体"/>
          <w:sz w:val="32"/>
          <w:szCs w:val="21"/>
        </w:rPr>
        <w:t>用户需求书</w:t>
      </w:r>
    </w:p>
    <w:p>
      <w:pPr>
        <w:pStyle w:val="22"/>
        <w:numPr>
          <w:ilvl w:val="0"/>
          <w:numId w:val="6"/>
        </w:numPr>
        <w:spacing w:line="360" w:lineRule="auto"/>
        <w:ind w:firstLineChars="0"/>
        <w:rPr>
          <w:rFonts w:hint="eastAsia" w:ascii="宋体" w:hAnsi="宋体"/>
          <w:b/>
          <w:bCs/>
          <w:sz w:val="28"/>
          <w:szCs w:val="28"/>
        </w:rPr>
      </w:pPr>
      <w:r>
        <w:rPr>
          <w:rFonts w:hint="eastAsia" w:ascii="宋体" w:hAnsi="宋体"/>
          <w:b/>
          <w:bCs/>
          <w:sz w:val="28"/>
          <w:szCs w:val="28"/>
        </w:rPr>
        <w:t>总则</w:t>
      </w:r>
    </w:p>
    <w:p>
      <w:pPr>
        <w:widowControl w:val="0"/>
        <w:numPr>
          <w:ilvl w:val="0"/>
          <w:numId w:val="7"/>
        </w:numPr>
        <w:spacing w:line="360" w:lineRule="auto"/>
        <w:jc w:val="both"/>
        <w:rPr>
          <w:rFonts w:hint="eastAsia" w:ascii="宋体" w:hAnsi="宋体" w:cs="宋体"/>
          <w:b w:val="0"/>
          <w:bCs/>
          <w:szCs w:val="21"/>
        </w:rPr>
      </w:pPr>
      <w:r>
        <w:rPr>
          <w:rFonts w:hint="eastAsia" w:ascii="宋体" w:hAnsi="宋体" w:cs="宋体"/>
          <w:b w:val="0"/>
          <w:bCs/>
          <w:szCs w:val="21"/>
        </w:rPr>
        <w:t>项目名称</w:t>
      </w:r>
      <w:r>
        <w:rPr>
          <w:rFonts w:ascii="宋体" w:hAnsi="宋体" w:cs="宋体"/>
          <w:b w:val="0"/>
          <w:bCs/>
          <w:szCs w:val="21"/>
        </w:rPr>
        <w:t>：</w:t>
      </w:r>
      <w:r>
        <w:rPr>
          <w:rFonts w:hint="default" w:ascii="宋体" w:hAnsi="宋体" w:cs="宋体"/>
          <w:b w:val="0"/>
          <w:bCs/>
          <w:szCs w:val="21"/>
          <w:lang w:val="en-US" w:eastAsia="zh-CN"/>
        </w:rPr>
        <w:t>盐类协议供货服务一年采购项目</w:t>
      </w:r>
    </w:p>
    <w:p>
      <w:pPr>
        <w:widowControl w:val="0"/>
        <w:numPr>
          <w:ilvl w:val="0"/>
          <w:numId w:val="7"/>
        </w:numPr>
        <w:spacing w:line="360" w:lineRule="auto"/>
        <w:jc w:val="both"/>
        <w:rPr>
          <w:rFonts w:hint="eastAsia" w:ascii="宋体" w:hAnsi="宋体" w:cs="宋体"/>
          <w:b w:val="0"/>
          <w:bCs/>
          <w:szCs w:val="21"/>
        </w:rPr>
      </w:pPr>
      <w:r>
        <w:rPr>
          <w:rFonts w:hint="eastAsia" w:ascii="宋体" w:hAnsi="宋体"/>
          <w:b w:val="0"/>
          <w:bCs/>
          <w:szCs w:val="21"/>
        </w:rPr>
        <w:t>供货期限：1 年</w:t>
      </w:r>
    </w:p>
    <w:p>
      <w:pPr>
        <w:widowControl w:val="0"/>
        <w:numPr>
          <w:ilvl w:val="0"/>
          <w:numId w:val="7"/>
        </w:numPr>
        <w:spacing w:line="360" w:lineRule="auto"/>
        <w:jc w:val="both"/>
        <w:rPr>
          <w:rFonts w:hint="eastAsia" w:ascii="宋体" w:hAnsi="宋体" w:cs="宋体"/>
          <w:b w:val="0"/>
          <w:bCs/>
          <w:szCs w:val="21"/>
        </w:rPr>
      </w:pPr>
      <w:r>
        <w:rPr>
          <w:rFonts w:hint="eastAsia" w:ascii="宋体" w:hAnsi="宋体"/>
          <w:b w:val="0"/>
          <w:bCs/>
          <w:szCs w:val="21"/>
        </w:rPr>
        <w:t>项目预算金额：</w:t>
      </w:r>
      <w:r>
        <w:rPr>
          <w:rFonts w:hint="eastAsia" w:ascii="宋体" w:hAnsi="宋体"/>
          <w:b w:val="0"/>
          <w:bCs/>
          <w:szCs w:val="21"/>
          <w:lang w:val="en-US" w:eastAsia="zh-CN"/>
        </w:rPr>
        <w:t>¥254,470</w:t>
      </w:r>
      <w:r>
        <w:rPr>
          <w:rFonts w:hint="eastAsia" w:ascii="宋体" w:hAnsi="宋体"/>
          <w:b w:val="0"/>
          <w:bCs/>
          <w:szCs w:val="21"/>
        </w:rPr>
        <w:t>.00元</w:t>
      </w:r>
    </w:p>
    <w:p>
      <w:pPr>
        <w:widowControl w:val="0"/>
        <w:numPr>
          <w:ilvl w:val="0"/>
          <w:numId w:val="7"/>
        </w:numPr>
        <w:spacing w:line="360" w:lineRule="auto"/>
        <w:jc w:val="both"/>
        <w:rPr>
          <w:rFonts w:hint="eastAsia" w:ascii="宋体" w:hAnsi="宋体" w:cs="宋体"/>
          <w:szCs w:val="21"/>
        </w:rPr>
      </w:pPr>
      <w:r>
        <w:rPr>
          <w:rFonts w:hint="eastAsia"/>
          <w:szCs w:val="21"/>
        </w:rPr>
        <w:t>本项目由成交供应商承包及负责磋商文件对成交供应商要求的一切事宜及责任。</w:t>
      </w:r>
    </w:p>
    <w:p>
      <w:pPr>
        <w:widowControl w:val="0"/>
        <w:numPr>
          <w:ilvl w:val="0"/>
          <w:numId w:val="7"/>
        </w:numPr>
        <w:spacing w:line="360" w:lineRule="auto"/>
        <w:jc w:val="both"/>
        <w:rPr>
          <w:rFonts w:hint="eastAsia" w:ascii="宋体" w:hAnsi="宋体" w:cs="宋体"/>
          <w:szCs w:val="21"/>
        </w:rPr>
      </w:pPr>
      <w:r>
        <w:rPr>
          <w:szCs w:val="21"/>
        </w:rPr>
        <w:t>本项目不接受联合体</w:t>
      </w:r>
      <w:r>
        <w:rPr>
          <w:rFonts w:hint="eastAsia"/>
          <w:szCs w:val="21"/>
        </w:rPr>
        <w:t>报价。</w:t>
      </w:r>
    </w:p>
    <w:p>
      <w:pPr>
        <w:pStyle w:val="22"/>
        <w:numPr>
          <w:ilvl w:val="0"/>
          <w:numId w:val="6"/>
        </w:numPr>
        <w:spacing w:line="360" w:lineRule="auto"/>
        <w:ind w:firstLineChars="0"/>
        <w:rPr>
          <w:rFonts w:hint="eastAsia" w:ascii="宋体" w:hAnsi="宋体"/>
          <w:b/>
          <w:bCs/>
          <w:sz w:val="28"/>
          <w:szCs w:val="28"/>
        </w:rPr>
      </w:pPr>
      <w:r>
        <w:rPr>
          <w:rFonts w:hint="eastAsia" w:ascii="宋体" w:hAnsi="宋体"/>
          <w:b/>
          <w:bCs/>
          <w:sz w:val="28"/>
          <w:szCs w:val="28"/>
        </w:rPr>
        <w:t>项目基本要求</w:t>
      </w:r>
    </w:p>
    <w:p>
      <w:pPr>
        <w:spacing w:line="360" w:lineRule="auto"/>
        <w:ind w:firstLine="420" w:firstLineChars="200"/>
        <w:rPr>
          <w:rFonts w:ascii="宋体" w:hAnsi="宋体" w:cs="宋体"/>
          <w:szCs w:val="21"/>
        </w:rPr>
      </w:pPr>
      <w:r>
        <w:rPr>
          <w:rFonts w:hint="eastAsia" w:ascii="宋体" w:hAnsi="宋体" w:cs="宋体"/>
          <w:szCs w:val="21"/>
        </w:rPr>
        <w:t>1、供应商具有独立承担民事责任能力的在中华人民共和国境内注册的法人或其他组织营业执照，经营范围含项目相关内容。</w:t>
      </w:r>
    </w:p>
    <w:p>
      <w:pPr>
        <w:spacing w:line="360" w:lineRule="auto"/>
        <w:ind w:firstLine="420" w:firstLineChars="200"/>
        <w:rPr>
          <w:rFonts w:ascii="宋体" w:hAnsi="宋体" w:cs="宋体"/>
          <w:szCs w:val="21"/>
        </w:rPr>
      </w:pPr>
      <w:r>
        <w:rPr>
          <w:rFonts w:hint="eastAsia" w:ascii="宋体" w:hAnsi="宋体" w:cs="宋体"/>
          <w:szCs w:val="21"/>
        </w:rPr>
        <w:t>2、交货地点：中山市小榄人民医院</w:t>
      </w:r>
    </w:p>
    <w:p>
      <w:pPr>
        <w:spacing w:line="360" w:lineRule="auto"/>
        <w:ind w:firstLine="241" w:firstLineChars="100"/>
        <w:rPr>
          <w:rFonts w:ascii="宋体" w:hAnsi="宋体" w:cs="宋体"/>
          <w:szCs w:val="21"/>
        </w:rPr>
      </w:pPr>
      <w:r>
        <w:rPr>
          <w:rFonts w:hint="eastAsia" w:asciiTheme="minorEastAsia" w:hAnsiTheme="minorEastAsia"/>
          <w:b/>
          <w:bCs/>
          <w:sz w:val="24"/>
        </w:rPr>
        <w:t>★</w:t>
      </w:r>
      <w:r>
        <w:rPr>
          <w:rFonts w:hint="eastAsia" w:ascii="宋体" w:hAnsi="宋体" w:cs="宋体"/>
          <w:szCs w:val="21"/>
        </w:rPr>
        <w:t>3、供货期限：1年。如采购人对中标人所提供的货物不满意（在使用过程中发现以次充好或使用假冒伪劣产品2次以上的或超过规定交货期限30天成交供应商仍不能交货的），采购人有权单方终止合同重新组织招标。</w:t>
      </w:r>
    </w:p>
    <w:p>
      <w:pPr>
        <w:spacing w:line="360" w:lineRule="auto"/>
        <w:ind w:firstLine="420" w:firstLineChars="200"/>
        <w:rPr>
          <w:rFonts w:ascii="宋体" w:hAnsi="宋体" w:cs="宋体"/>
          <w:szCs w:val="21"/>
        </w:rPr>
      </w:pPr>
      <w:r>
        <w:rPr>
          <w:rFonts w:hint="eastAsia" w:ascii="宋体" w:hAnsi="宋体" w:cs="宋体"/>
          <w:szCs w:val="21"/>
        </w:rPr>
        <w:t>4、本项目</w:t>
      </w:r>
      <w:r>
        <w:rPr>
          <w:rFonts w:hint="eastAsia" w:ascii="宋体" w:hAnsi="宋体"/>
          <w:color w:val="000000"/>
          <w:szCs w:val="21"/>
        </w:rPr>
        <w:t>预算金额总价上限</w:t>
      </w:r>
      <w:r>
        <w:rPr>
          <w:rFonts w:hint="eastAsia" w:ascii="宋体" w:hAnsi="宋体" w:cs="宋体"/>
          <w:szCs w:val="21"/>
        </w:rPr>
        <w:t>为¥254470元。</w:t>
      </w:r>
    </w:p>
    <w:p>
      <w:pPr>
        <w:spacing w:line="360" w:lineRule="auto"/>
        <w:ind w:firstLine="420" w:firstLineChars="200"/>
        <w:rPr>
          <w:rFonts w:ascii="宋体" w:hAnsi="宋体" w:cs="宋体"/>
          <w:szCs w:val="21"/>
        </w:rPr>
      </w:pPr>
      <w:r>
        <w:rPr>
          <w:rFonts w:hint="eastAsia" w:ascii="宋体" w:hAnsi="宋体" w:cs="宋体"/>
          <w:szCs w:val="21"/>
        </w:rPr>
        <w:t>5、本项目</w:t>
      </w:r>
      <w:r>
        <w:rPr>
          <w:rFonts w:hint="eastAsia" w:ascii="宋体" w:hAnsi="宋体"/>
          <w:color w:val="000000"/>
          <w:szCs w:val="21"/>
        </w:rPr>
        <w:t>数量为预估数量，实际总量不得超过，若实际数量低于这个总量，则按实结算</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6、交货方式：</w:t>
      </w:r>
    </w:p>
    <w:p>
      <w:pPr>
        <w:spacing w:line="360" w:lineRule="auto"/>
        <w:ind w:firstLine="420" w:firstLineChars="200"/>
        <w:rPr>
          <w:rFonts w:ascii="宋体" w:hAnsi="宋体" w:cs="宋体"/>
          <w:kern w:val="0"/>
          <w:szCs w:val="21"/>
        </w:rPr>
      </w:pPr>
      <w:r>
        <w:rPr>
          <w:rFonts w:hint="eastAsia" w:ascii="宋体" w:hAnsi="宋体" w:cs="宋体"/>
          <w:szCs w:val="21"/>
        </w:rPr>
        <w:t>（1）在收到采购人下单通知后3个工作日内把指定货物交付到中山市小榄人民医院。</w:t>
      </w:r>
      <w:r>
        <w:rPr>
          <w:rFonts w:hint="eastAsia" w:ascii="宋体" w:hAnsi="宋体" w:cs="宋体"/>
          <w:kern w:val="0"/>
          <w:szCs w:val="21"/>
        </w:rPr>
        <w:t>在紧急用盐的情况下，应保证2小时内将盐送到采购人指定地点。</w:t>
      </w:r>
    </w:p>
    <w:p>
      <w:pPr>
        <w:spacing w:line="360" w:lineRule="auto"/>
        <w:ind w:firstLine="420" w:firstLineChars="200"/>
      </w:pPr>
      <w:r>
        <w:rPr>
          <w:rFonts w:hint="eastAsia" w:ascii="宋体" w:hAnsi="宋体" w:cs="宋体"/>
          <w:kern w:val="0"/>
          <w:szCs w:val="21"/>
        </w:rPr>
        <w:t>（2）</w:t>
      </w:r>
      <w:r>
        <w:rPr>
          <w:rFonts w:hint="eastAsia" w:ascii="宋体" w:hAnsi="宋体" w:cs="宋体"/>
          <w:szCs w:val="21"/>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spacing w:line="360" w:lineRule="auto"/>
        <w:ind w:firstLine="420" w:firstLineChars="200"/>
        <w:rPr>
          <w:rFonts w:ascii="宋体" w:hAnsi="宋体" w:cs="宋体"/>
          <w:color w:val="FF0000"/>
          <w:szCs w:val="21"/>
        </w:rPr>
      </w:pPr>
      <w:r>
        <w:rPr>
          <w:rFonts w:hint="eastAsia" w:ascii="宋体" w:hAnsi="宋体" w:cs="宋体"/>
          <w:szCs w:val="21"/>
        </w:rPr>
        <w:t>7、成交供应商不得以任何方式转包或分包本项目，否则视为成交供应商毁约。</w:t>
      </w:r>
    </w:p>
    <w:p>
      <w:pPr>
        <w:spacing w:line="360" w:lineRule="auto"/>
        <w:ind w:firstLine="420" w:firstLineChars="200"/>
        <w:rPr>
          <w:rFonts w:ascii="宋体" w:hAnsi="宋体" w:cs="宋体"/>
          <w:szCs w:val="21"/>
        </w:rPr>
      </w:pPr>
      <w:r>
        <w:rPr>
          <w:rFonts w:hint="eastAsia" w:ascii="宋体" w:hAnsi="宋体" w:cs="宋体"/>
          <w:szCs w:val="21"/>
        </w:rPr>
        <w:t>8、采购人无法预计也无法保证向成交供应商采购的品种及数量,采购人按照本单位使用情况下单所需物品数量，成交供应商不得对采购人所采购物品数量作要求或质疑。</w:t>
      </w:r>
    </w:p>
    <w:p>
      <w:pPr>
        <w:pStyle w:val="2"/>
        <w:rPr>
          <w:rFonts w:hint="eastAsia" w:ascii="宋体" w:hAnsi="宋体" w:cs="宋体"/>
          <w:szCs w:val="21"/>
        </w:rPr>
      </w:pPr>
    </w:p>
    <w:p>
      <w:pPr>
        <w:pStyle w:val="3"/>
        <w:rPr>
          <w:rFonts w:hint="eastAsia" w:ascii="宋体" w:hAnsi="宋体" w:cs="宋体"/>
          <w:szCs w:val="21"/>
        </w:rPr>
      </w:pPr>
    </w:p>
    <w:p>
      <w:pPr>
        <w:rPr>
          <w:rFonts w:hint="eastAsia" w:ascii="宋体" w:hAnsi="宋体" w:cs="宋体"/>
          <w:szCs w:val="21"/>
        </w:rPr>
      </w:pPr>
    </w:p>
    <w:p>
      <w:pPr>
        <w:pStyle w:val="2"/>
        <w:rPr>
          <w:rFonts w:hint="eastAsia" w:ascii="宋体" w:hAnsi="宋体" w:cs="宋体"/>
          <w:szCs w:val="21"/>
        </w:rPr>
      </w:pPr>
    </w:p>
    <w:p>
      <w:pPr>
        <w:pStyle w:val="3"/>
        <w:rPr>
          <w:rFonts w:hint="eastAsia" w:ascii="宋体" w:hAnsi="宋体" w:cs="宋体"/>
          <w:szCs w:val="21"/>
        </w:rPr>
      </w:pPr>
    </w:p>
    <w:p>
      <w:pPr>
        <w:rPr>
          <w:rFonts w:hint="eastAsia" w:ascii="宋体" w:hAnsi="宋体" w:cs="宋体"/>
          <w:szCs w:val="21"/>
        </w:rPr>
      </w:pPr>
    </w:p>
    <w:p>
      <w:pPr>
        <w:pStyle w:val="2"/>
      </w:pP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项目采购清单</w:t>
      </w:r>
    </w:p>
    <w:tbl>
      <w:tblPr>
        <w:tblStyle w:val="14"/>
        <w:tblW w:w="8416" w:type="dxa"/>
        <w:jc w:val="center"/>
        <w:tblLayout w:type="fixed"/>
        <w:tblCellMar>
          <w:top w:w="0" w:type="dxa"/>
          <w:left w:w="108" w:type="dxa"/>
          <w:bottom w:w="0" w:type="dxa"/>
          <w:right w:w="108" w:type="dxa"/>
        </w:tblCellMar>
      </w:tblPr>
      <w:tblGrid>
        <w:gridCol w:w="778"/>
        <w:gridCol w:w="1289"/>
        <w:gridCol w:w="3586"/>
        <w:gridCol w:w="1275"/>
        <w:gridCol w:w="1488"/>
      </w:tblGrid>
      <w:tr>
        <w:trPr>
          <w:trHeight w:val="856"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2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采购物品</w:t>
            </w:r>
          </w:p>
        </w:tc>
        <w:tc>
          <w:tcPr>
            <w:tcW w:w="358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规格</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产品用途</w:t>
            </w:r>
          </w:p>
        </w:tc>
        <w:tc>
          <w:tcPr>
            <w:tcW w:w="14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单价最高限价</w:t>
            </w:r>
          </w:p>
          <w:p>
            <w:pPr>
              <w:widowControl/>
              <w:jc w:val="center"/>
              <w:rPr>
                <w:rFonts w:ascii="宋体" w:hAnsi="宋体" w:cs="宋体"/>
                <w:b/>
                <w:bCs/>
                <w:color w:val="000000"/>
                <w:kern w:val="0"/>
                <w:szCs w:val="21"/>
              </w:rPr>
            </w:pPr>
            <w:r>
              <w:rPr>
                <w:rFonts w:hint="eastAsia" w:ascii="宋体" w:hAnsi="宋体" w:cs="宋体"/>
                <w:b/>
                <w:bCs/>
                <w:color w:val="auto"/>
                <w:kern w:val="0"/>
                <w:szCs w:val="21"/>
              </w:rPr>
              <w:t>（元/kg）</w:t>
            </w:r>
          </w:p>
        </w:tc>
      </w:tr>
      <w:tr>
        <w:tblPrEx>
          <w:tblCellMar>
            <w:top w:w="0" w:type="dxa"/>
            <w:left w:w="108" w:type="dxa"/>
            <w:bottom w:w="0" w:type="dxa"/>
            <w:right w:w="108" w:type="dxa"/>
          </w:tblCellMar>
        </w:tblPrEx>
        <w:trPr>
          <w:trHeight w:val="841" w:hRule="atLeast"/>
          <w:jc w:val="center"/>
        </w:trPr>
        <w:tc>
          <w:tcPr>
            <w:tcW w:w="7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8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精致工业细盐</w:t>
            </w:r>
          </w:p>
        </w:tc>
        <w:tc>
          <w:tcPr>
            <w:tcW w:w="35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50kg/袋</w:t>
            </w:r>
          </w:p>
          <w:p>
            <w:pPr>
              <w:pStyle w:val="2"/>
              <w:jc w:val="center"/>
            </w:pPr>
            <w:r>
              <w:t>氯化钠，≥</w:t>
            </w:r>
            <w:r>
              <w:rPr>
                <w:rFonts w:hint="eastAsia"/>
              </w:rPr>
              <w:t>98.50 g/100g；</w:t>
            </w:r>
          </w:p>
          <w:p>
            <w:pPr>
              <w:pStyle w:val="3"/>
              <w:ind w:left="0" w:leftChars="0"/>
              <w:jc w:val="center"/>
            </w:pPr>
            <w:r>
              <w:t>水分，≤</w:t>
            </w:r>
            <w:r>
              <w:rPr>
                <w:rFonts w:hint="eastAsia"/>
              </w:rPr>
              <w:t>0.50g/100g；</w:t>
            </w:r>
          </w:p>
          <w:p>
            <w:pPr>
              <w:jc w:val="center"/>
            </w:pPr>
            <w:r>
              <w:t>水不溶物，≤</w:t>
            </w:r>
            <w:r>
              <w:rPr>
                <w:rFonts w:hint="eastAsia"/>
              </w:rPr>
              <w:t>0.10 g/100g；</w:t>
            </w:r>
          </w:p>
          <w:p>
            <w:pPr>
              <w:pStyle w:val="2"/>
              <w:jc w:val="center"/>
            </w:pPr>
            <w:r>
              <w:t>硫酸根，≤</w:t>
            </w:r>
            <w:r>
              <w:rPr>
                <w:rFonts w:hint="eastAsia"/>
              </w:rPr>
              <w:t>0.50g/100g；</w:t>
            </w:r>
          </w:p>
          <w:p>
            <w:pPr>
              <w:pStyle w:val="3"/>
              <w:ind w:left="0" w:leftChars="0"/>
              <w:jc w:val="center"/>
            </w:pPr>
            <w:r>
              <w:t>钙镁离子总量</w:t>
            </w:r>
            <w:r>
              <w:rPr>
                <w:rFonts w:hint="eastAsia"/>
              </w:rPr>
              <w:t>，</w:t>
            </w:r>
            <w:r>
              <w:t>≤</w:t>
            </w:r>
            <w:r>
              <w:rPr>
                <w:rFonts w:hint="eastAsia"/>
              </w:rPr>
              <w:t>0.40g/100g。</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污水处理站使用</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1.45</w:t>
            </w:r>
          </w:p>
        </w:tc>
      </w:tr>
      <w:tr>
        <w:tblPrEx>
          <w:tblCellMar>
            <w:top w:w="0" w:type="dxa"/>
            <w:left w:w="108" w:type="dxa"/>
            <w:bottom w:w="0" w:type="dxa"/>
            <w:right w:w="108" w:type="dxa"/>
          </w:tblCellMar>
        </w:tblPrEx>
        <w:trPr>
          <w:trHeight w:val="841"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2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日晒粗盐</w:t>
            </w:r>
          </w:p>
        </w:tc>
        <w:tc>
          <w:tcPr>
            <w:tcW w:w="35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50kg/袋</w:t>
            </w:r>
          </w:p>
          <w:p>
            <w:pPr>
              <w:widowControl/>
              <w:jc w:val="center"/>
              <w:rPr>
                <w:rFonts w:ascii="宋体" w:hAnsi="宋体" w:cs="宋体"/>
                <w:color w:val="000000"/>
                <w:kern w:val="0"/>
                <w:szCs w:val="21"/>
              </w:rPr>
            </w:pPr>
            <w:r>
              <w:rPr>
                <w:rFonts w:hint="eastAsia" w:ascii="宋体" w:hAnsi="宋体" w:cs="宋体"/>
                <w:color w:val="000000"/>
                <w:kern w:val="0"/>
                <w:szCs w:val="21"/>
              </w:rPr>
              <w:t>氯化钠，≥91.2 g/100g；</w:t>
            </w:r>
          </w:p>
          <w:p>
            <w:pPr>
              <w:widowControl/>
              <w:jc w:val="center"/>
              <w:rPr>
                <w:rFonts w:ascii="宋体" w:hAnsi="宋体" w:cs="宋体"/>
                <w:color w:val="000000"/>
                <w:kern w:val="0"/>
                <w:szCs w:val="21"/>
              </w:rPr>
            </w:pPr>
            <w:r>
              <w:rPr>
                <w:rFonts w:hint="eastAsia" w:ascii="宋体" w:hAnsi="宋体" w:cs="宋体"/>
                <w:color w:val="000000"/>
                <w:kern w:val="0"/>
                <w:szCs w:val="21"/>
              </w:rPr>
              <w:t>水分，≤6.40 g/100g；</w:t>
            </w:r>
          </w:p>
          <w:p>
            <w:pPr>
              <w:widowControl/>
              <w:jc w:val="center"/>
              <w:rPr>
                <w:rFonts w:ascii="宋体" w:hAnsi="宋体" w:cs="宋体"/>
                <w:color w:val="000000"/>
                <w:kern w:val="0"/>
                <w:szCs w:val="21"/>
              </w:rPr>
            </w:pPr>
            <w:r>
              <w:rPr>
                <w:rFonts w:hint="eastAsia" w:ascii="宋体" w:hAnsi="宋体" w:cs="宋体"/>
                <w:color w:val="000000"/>
                <w:kern w:val="0"/>
                <w:szCs w:val="21"/>
              </w:rPr>
              <w:t>水不溶物，≤0.20 g/100g；</w:t>
            </w:r>
          </w:p>
          <w:p>
            <w:pPr>
              <w:widowControl/>
              <w:jc w:val="center"/>
              <w:rPr>
                <w:rFonts w:ascii="宋体" w:hAnsi="宋体" w:cs="宋体"/>
                <w:color w:val="000000"/>
                <w:kern w:val="0"/>
                <w:szCs w:val="21"/>
              </w:rPr>
            </w:pPr>
            <w:r>
              <w:rPr>
                <w:rFonts w:hint="eastAsia" w:ascii="宋体" w:hAnsi="宋体" w:cs="宋体"/>
                <w:color w:val="000000"/>
                <w:kern w:val="0"/>
                <w:szCs w:val="21"/>
              </w:rPr>
              <w:t>硫酸根离子，≤1.10 g/100g；</w:t>
            </w:r>
          </w:p>
          <w:p>
            <w:pPr>
              <w:pStyle w:val="2"/>
              <w:jc w:val="center"/>
            </w:pPr>
            <w:r>
              <w:rPr>
                <w:rFonts w:hint="eastAsia"/>
              </w:rPr>
              <w:t>粒度，0.3～2.8mm筛间物，≥75.0g/100g；</w:t>
            </w:r>
          </w:p>
          <w:p>
            <w:pPr>
              <w:pStyle w:val="3"/>
              <w:ind w:left="0" w:leftChars="0"/>
              <w:jc w:val="center"/>
            </w:pPr>
            <w:r>
              <w:rPr>
                <w:rFonts w:hint="eastAsia"/>
              </w:rPr>
              <w:t>白度，≥45.0度。</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锅炉房使用</w:t>
            </w:r>
          </w:p>
        </w:tc>
        <w:tc>
          <w:tcPr>
            <w:tcW w:w="14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1.34</w:t>
            </w:r>
          </w:p>
        </w:tc>
      </w:tr>
      <w:tr>
        <w:tblPrEx>
          <w:tblCellMar>
            <w:top w:w="0" w:type="dxa"/>
            <w:left w:w="108" w:type="dxa"/>
            <w:bottom w:w="0" w:type="dxa"/>
            <w:right w:w="108" w:type="dxa"/>
          </w:tblCellMar>
        </w:tblPrEx>
        <w:trPr>
          <w:trHeight w:val="841" w:hRule="atLeast"/>
          <w:jc w:val="center"/>
        </w:trPr>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2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未加碘精制食用盐</w:t>
            </w:r>
          </w:p>
        </w:tc>
        <w:tc>
          <w:tcPr>
            <w:tcW w:w="35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氯化钠，≥98.50g/100g；</w:t>
            </w:r>
          </w:p>
          <w:p>
            <w:pPr>
              <w:widowControl/>
              <w:jc w:val="center"/>
              <w:rPr>
                <w:rFonts w:ascii="宋体" w:hAnsi="宋体" w:cs="宋体"/>
                <w:color w:val="000000"/>
                <w:kern w:val="0"/>
                <w:szCs w:val="21"/>
              </w:rPr>
            </w:pPr>
            <w:r>
              <w:rPr>
                <w:rFonts w:hint="eastAsia" w:ascii="宋体" w:hAnsi="宋体" w:cs="宋体"/>
                <w:color w:val="000000"/>
                <w:kern w:val="0"/>
                <w:szCs w:val="21"/>
              </w:rPr>
              <w:t>硫酸根，≤0.60g/100g；</w:t>
            </w:r>
          </w:p>
          <w:p>
            <w:pPr>
              <w:widowControl/>
              <w:jc w:val="center"/>
              <w:rPr>
                <w:rFonts w:ascii="宋体" w:hAnsi="宋体" w:cs="宋体"/>
                <w:color w:val="000000"/>
                <w:kern w:val="0"/>
                <w:szCs w:val="21"/>
              </w:rPr>
            </w:pPr>
            <w:r>
              <w:rPr>
                <w:rFonts w:hint="eastAsia" w:ascii="宋体" w:hAnsi="宋体" w:cs="宋体"/>
                <w:color w:val="000000"/>
                <w:kern w:val="0"/>
                <w:szCs w:val="21"/>
              </w:rPr>
              <w:t>水分,≤0.50g/100g；</w:t>
            </w:r>
          </w:p>
          <w:p>
            <w:pPr>
              <w:widowControl/>
              <w:jc w:val="center"/>
              <w:rPr>
                <w:rFonts w:ascii="宋体" w:hAnsi="宋体" w:cs="宋体"/>
                <w:color w:val="000000"/>
                <w:kern w:val="0"/>
                <w:szCs w:val="21"/>
              </w:rPr>
            </w:pPr>
            <w:r>
              <w:rPr>
                <w:rFonts w:hint="eastAsia" w:ascii="宋体" w:hAnsi="宋体" w:cs="宋体"/>
                <w:color w:val="000000"/>
                <w:kern w:val="0"/>
                <w:szCs w:val="21"/>
              </w:rPr>
              <w:t>水不溶物,≤0.07g/100g；</w:t>
            </w:r>
          </w:p>
          <w:p>
            <w:pPr>
              <w:widowControl/>
              <w:jc w:val="center"/>
              <w:rPr>
                <w:rFonts w:ascii="宋体" w:hAnsi="宋体" w:cs="宋体"/>
                <w:color w:val="000000"/>
                <w:kern w:val="0"/>
                <w:szCs w:val="21"/>
              </w:rPr>
            </w:pPr>
            <w:r>
              <w:rPr>
                <w:rFonts w:hint="eastAsia" w:ascii="宋体" w:hAnsi="宋体" w:cs="宋体"/>
                <w:color w:val="000000"/>
                <w:kern w:val="0"/>
                <w:szCs w:val="21"/>
              </w:rPr>
              <w:t>白度，≥75度；</w:t>
            </w:r>
          </w:p>
          <w:p>
            <w:pPr>
              <w:widowControl/>
              <w:jc w:val="center"/>
              <w:rPr>
                <w:rFonts w:ascii="宋体" w:hAnsi="宋体" w:cs="宋体"/>
                <w:color w:val="000000"/>
                <w:kern w:val="0"/>
                <w:szCs w:val="21"/>
              </w:rPr>
            </w:pPr>
            <w:r>
              <w:rPr>
                <w:rFonts w:hint="eastAsia" w:ascii="宋体" w:hAnsi="宋体" w:cs="宋体"/>
                <w:color w:val="000000"/>
                <w:kern w:val="0"/>
                <w:szCs w:val="21"/>
              </w:rPr>
              <w:t>粒度（0.15-0.85mm</w:t>
            </w:r>
            <w:r>
              <w:rPr>
                <w:rFonts w:hint="eastAsia"/>
              </w:rPr>
              <w:t>筛间物</w:t>
            </w:r>
            <w:r>
              <w:rPr>
                <w:rFonts w:hint="eastAsia" w:ascii="宋体" w:hAnsi="宋体" w:cs="宋体"/>
                <w:color w:val="000000"/>
                <w:kern w:val="0"/>
                <w:szCs w:val="21"/>
              </w:rPr>
              <w:t>）≥75g/100g；</w:t>
            </w:r>
          </w:p>
          <w:p>
            <w:pPr>
              <w:widowControl/>
              <w:jc w:val="center"/>
              <w:rPr>
                <w:szCs w:val="21"/>
              </w:rPr>
            </w:pPr>
            <w:r>
              <w:rPr>
                <w:rFonts w:hint="eastAsia" w:ascii="宋体" w:hAnsi="宋体" w:cs="宋体"/>
                <w:color w:val="000000"/>
                <w:kern w:val="0"/>
                <w:szCs w:val="21"/>
              </w:rPr>
              <w:t>碘强化剂（以I-记),＜5 mg/kg；</w:t>
            </w:r>
          </w:p>
          <w:p>
            <w:pPr>
              <w:widowControl/>
              <w:jc w:val="center"/>
              <w:rPr>
                <w:szCs w:val="21"/>
              </w:rPr>
            </w:pPr>
            <w:r>
              <w:rPr>
                <w:rFonts w:hint="eastAsia" w:ascii="宋体" w:hAnsi="宋体" w:cs="宋体"/>
                <w:color w:val="000000"/>
                <w:kern w:val="0"/>
                <w:szCs w:val="21"/>
              </w:rPr>
              <w:t>亚铁氰化钾(以[Fe(CN)6]</w:t>
            </w:r>
            <w:r>
              <w:rPr>
                <w:rFonts w:hint="eastAsia" w:ascii="宋体" w:hAnsi="宋体" w:cs="宋体"/>
                <w:color w:val="000000"/>
                <w:kern w:val="0"/>
                <w:szCs w:val="21"/>
                <w:vertAlign w:val="superscript"/>
              </w:rPr>
              <w:t>4-</w:t>
            </w:r>
            <w:r>
              <w:rPr>
                <w:rFonts w:hint="eastAsia" w:ascii="宋体" w:hAnsi="宋体" w:cs="宋体"/>
                <w:color w:val="000000"/>
                <w:kern w:val="0"/>
                <w:szCs w:val="21"/>
              </w:rPr>
              <w:t>计）≤10 mg/kg；</w:t>
            </w:r>
          </w:p>
          <w:p>
            <w:pPr>
              <w:widowControl/>
              <w:jc w:val="center"/>
              <w:rPr>
                <w:szCs w:val="21"/>
              </w:rPr>
            </w:pPr>
            <w:r>
              <w:rPr>
                <w:rFonts w:hint="eastAsia" w:ascii="宋体" w:hAnsi="宋体" w:cs="宋体"/>
                <w:color w:val="000000"/>
                <w:kern w:val="0"/>
                <w:szCs w:val="21"/>
              </w:rPr>
              <w:t>总砷（以As计），≤0.5 mg/kg；</w:t>
            </w:r>
          </w:p>
          <w:p>
            <w:pPr>
              <w:widowControl/>
              <w:jc w:val="center"/>
              <w:rPr>
                <w:szCs w:val="21"/>
              </w:rPr>
            </w:pPr>
            <w:r>
              <w:rPr>
                <w:rFonts w:hint="eastAsia" w:ascii="宋体" w:hAnsi="宋体" w:cs="宋体"/>
                <w:color w:val="000000"/>
                <w:kern w:val="0"/>
                <w:szCs w:val="21"/>
              </w:rPr>
              <w:t>铅（以Pb计），≤2.0 mg/kg；</w:t>
            </w:r>
          </w:p>
          <w:p>
            <w:pPr>
              <w:widowControl/>
              <w:jc w:val="center"/>
              <w:rPr>
                <w:szCs w:val="21"/>
              </w:rPr>
            </w:pPr>
            <w:r>
              <w:rPr>
                <w:rFonts w:hint="eastAsia" w:ascii="宋体" w:hAnsi="宋体" w:cs="宋体"/>
                <w:color w:val="000000"/>
                <w:kern w:val="0"/>
                <w:szCs w:val="21"/>
              </w:rPr>
              <w:t>镉 (以Cd计) ，≤0.5 mg/kg；</w:t>
            </w:r>
          </w:p>
          <w:p>
            <w:pPr>
              <w:widowControl/>
              <w:jc w:val="center"/>
              <w:rPr>
                <w:szCs w:val="21"/>
              </w:rPr>
            </w:pPr>
            <w:r>
              <w:rPr>
                <w:rFonts w:hint="eastAsia" w:ascii="宋体" w:hAnsi="宋体" w:cs="宋体"/>
                <w:color w:val="000000"/>
                <w:kern w:val="0"/>
                <w:szCs w:val="21"/>
              </w:rPr>
              <w:t>总汞（以Hg计) ，≤0.1 mg/kg；</w:t>
            </w:r>
          </w:p>
          <w:p>
            <w:pPr>
              <w:widowControl/>
              <w:jc w:val="center"/>
              <w:rPr>
                <w:rFonts w:ascii="宋体" w:hAnsi="宋体" w:cs="宋体"/>
                <w:color w:val="000000"/>
                <w:kern w:val="0"/>
                <w:szCs w:val="21"/>
              </w:rPr>
            </w:pPr>
            <w:r>
              <w:rPr>
                <w:rFonts w:hint="eastAsia" w:ascii="宋体" w:hAnsi="宋体" w:cs="宋体"/>
                <w:color w:val="000000"/>
                <w:kern w:val="0"/>
                <w:szCs w:val="21"/>
              </w:rPr>
              <w:t>钡（以Ba计），≤15 mg/kg。</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血透室使用</w:t>
            </w:r>
          </w:p>
        </w:tc>
        <w:tc>
          <w:tcPr>
            <w:tcW w:w="14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1.45</w:t>
            </w:r>
          </w:p>
        </w:tc>
      </w:tr>
    </w:tbl>
    <w:p>
      <w:pPr>
        <w:pStyle w:val="22"/>
        <w:numPr>
          <w:ilvl w:val="0"/>
          <w:numId w:val="0"/>
        </w:numPr>
        <w:spacing w:line="360" w:lineRule="auto"/>
        <w:ind w:leftChars="0"/>
        <w:rPr>
          <w:rFonts w:ascii="宋体" w:hAnsi="宋体"/>
          <w:b/>
          <w:bCs/>
          <w:sz w:val="28"/>
          <w:szCs w:val="28"/>
        </w:rPr>
      </w:pPr>
    </w:p>
    <w:p>
      <w:pPr>
        <w:autoSpaceDE w:val="0"/>
        <w:autoSpaceDN w:val="0"/>
        <w:spacing w:line="360" w:lineRule="auto"/>
        <w:ind w:firstLine="422" w:firstLineChars="200"/>
        <w:rPr>
          <w:rFonts w:ascii="宋体" w:hAnsi="宋体" w:cs="宋体"/>
          <w:b/>
          <w:szCs w:val="21"/>
        </w:rPr>
      </w:pPr>
      <w:r>
        <w:rPr>
          <w:rFonts w:hint="eastAsia" w:ascii="宋体" w:hAnsi="宋体" w:cs="宋体"/>
          <w:b/>
          <w:szCs w:val="21"/>
        </w:rPr>
        <w:t>说明：</w:t>
      </w:r>
    </w:p>
    <w:p>
      <w:pPr>
        <w:autoSpaceDE w:val="0"/>
        <w:autoSpaceDN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szCs w:val="21"/>
        </w:rPr>
        <w:t>响应供应商须</w:t>
      </w:r>
      <w:r>
        <w:rPr>
          <w:rFonts w:hint="eastAsia" w:ascii="宋体" w:hAnsi="宋体"/>
          <w:szCs w:val="21"/>
          <w:lang w:val="zh-CN"/>
        </w:rPr>
        <w:t>提交由市级或以</w:t>
      </w:r>
      <w:r>
        <w:rPr>
          <w:rFonts w:hint="eastAsia" w:ascii="宋体" w:hAnsi="宋体"/>
          <w:bCs/>
          <w:szCs w:val="21"/>
          <w:lang w:val="zh-CN"/>
        </w:rPr>
        <w:t>上</w:t>
      </w:r>
      <w:r>
        <w:rPr>
          <w:rFonts w:hint="eastAsia" w:ascii="宋体" w:hAnsi="宋体" w:cs="宋体"/>
          <w:kern w:val="0"/>
          <w:szCs w:val="21"/>
        </w:rPr>
        <w:t>权威检测部门或机构出具的产品检测合格报告复印件并加盖公章。</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响应报价要求</w:t>
      </w:r>
    </w:p>
    <w:p>
      <w:pPr>
        <w:spacing w:line="360" w:lineRule="auto"/>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cs="宋体"/>
          <w:szCs w:val="21"/>
          <w:highlight w:val="none"/>
        </w:rPr>
        <w:t>成交供应商对采购清单的货物单价报出统一的投标下浮率，</w:t>
      </w:r>
      <w:r>
        <w:rPr>
          <w:rFonts w:hint="eastAsia" w:asciiTheme="minorEastAsia" w:hAnsiTheme="minorEastAsia"/>
          <w:highlight w:val="none"/>
        </w:rPr>
        <w:t>下浮率在0%（含本数）-100%（含本数）范围内取值，若报价超出此范围则投标无效，</w:t>
      </w:r>
      <w:r>
        <w:rPr>
          <w:rFonts w:hint="eastAsia" w:ascii="宋体" w:hAnsi="宋体" w:cs="宋体"/>
          <w:szCs w:val="21"/>
          <w:highlight w:val="none"/>
        </w:rPr>
        <w:t>合同期内，</w:t>
      </w:r>
      <w:r>
        <w:rPr>
          <w:rFonts w:hint="eastAsia" w:ascii="宋体" w:hAnsi="宋体"/>
          <w:szCs w:val="21"/>
          <w:highlight w:val="none"/>
        </w:rPr>
        <w:t>中标单价不再调整。</w:t>
      </w:r>
    </w:p>
    <w:p>
      <w:pPr>
        <w:autoSpaceDE w:val="0"/>
        <w:autoSpaceDN w:val="0"/>
        <w:spacing w:line="360" w:lineRule="auto"/>
        <w:ind w:firstLine="420" w:firstLineChars="200"/>
        <w:rPr>
          <w:rFonts w:ascii="宋体" w:hAnsi="宋体"/>
          <w:szCs w:val="21"/>
        </w:rPr>
      </w:pPr>
      <w:r>
        <w:rPr>
          <w:rFonts w:hint="eastAsia" w:ascii="宋体" w:hAnsi="宋体"/>
          <w:szCs w:val="21"/>
        </w:rPr>
        <w:t>2、本次响应报价应为人民币含税全包价，包括价格、包装费、运杂费、保险费、卸车费、安装费、配合费、检测费、税金及响应供应商认为需要的其他费用等。</w:t>
      </w:r>
    </w:p>
    <w:p>
      <w:pPr>
        <w:autoSpaceDE w:val="0"/>
        <w:autoSpaceDN w:val="0"/>
        <w:spacing w:line="360" w:lineRule="auto"/>
        <w:ind w:firstLine="420" w:firstLineChars="200"/>
        <w:rPr>
          <w:rFonts w:ascii="宋体" w:hAnsi="宋体"/>
          <w:szCs w:val="21"/>
        </w:rPr>
      </w:pPr>
      <w:r>
        <w:rPr>
          <w:rFonts w:hint="eastAsia" w:ascii="宋体" w:hAnsi="宋体"/>
          <w:szCs w:val="21"/>
        </w:rPr>
        <w:t>3、供应商单价报价中漏项、少报在费用，视为此项费用已隐含在投标报价中，成交供应商不得再向采购人收取任何费用。</w:t>
      </w:r>
    </w:p>
    <w:p>
      <w:pPr>
        <w:pStyle w:val="3"/>
        <w:ind w:left="0" w:leftChars="0" w:firstLine="0" w:firstLineChars="0"/>
      </w:pPr>
    </w:p>
    <w:p>
      <w:pPr>
        <w:pStyle w:val="22"/>
        <w:numPr>
          <w:ilvl w:val="0"/>
          <w:numId w:val="6"/>
        </w:numPr>
        <w:spacing w:line="360" w:lineRule="auto"/>
        <w:ind w:firstLineChars="0"/>
        <w:rPr>
          <w:rFonts w:hint="eastAsia" w:ascii="宋体" w:hAnsi="宋体"/>
          <w:b/>
          <w:bCs/>
          <w:sz w:val="28"/>
          <w:szCs w:val="28"/>
        </w:rPr>
      </w:pPr>
      <w:r>
        <w:rPr>
          <w:rFonts w:hint="eastAsia" w:ascii="宋体" w:hAnsi="宋体"/>
          <w:b/>
          <w:bCs/>
          <w:sz w:val="28"/>
          <w:szCs w:val="28"/>
        </w:rPr>
        <w:t>供货及售后服务要求</w:t>
      </w:r>
    </w:p>
    <w:p>
      <w:pPr>
        <w:widowControl/>
        <w:tabs>
          <w:tab w:val="left" w:pos="0"/>
        </w:tabs>
        <w:spacing w:line="360" w:lineRule="auto"/>
        <w:ind w:firstLine="420" w:firstLineChars="200"/>
        <w:jc w:val="left"/>
        <w:rPr>
          <w:rFonts w:hint="eastAsia" w:ascii="宋体" w:hAnsi="宋体"/>
          <w:szCs w:val="21"/>
        </w:rPr>
      </w:pPr>
      <w:r>
        <w:rPr>
          <w:rFonts w:hint="eastAsia" w:ascii="宋体" w:hAnsi="宋体"/>
          <w:szCs w:val="21"/>
        </w:rPr>
        <w:t>1、供应商提供的产品</w:t>
      </w:r>
      <w:r>
        <w:rPr>
          <w:rFonts w:hint="eastAsia" w:ascii="宋体" w:hAnsi="宋体"/>
          <w:szCs w:val="21"/>
        </w:rPr>
        <w:t>是未启封全新包装正品，其质量、规格满足用户需求，各项技术指标完全符合国家行业生产标准、国家有关质量检测标准及产品出厂标准。</w:t>
      </w:r>
    </w:p>
    <w:p>
      <w:pPr>
        <w:widowControl/>
        <w:tabs>
          <w:tab w:val="left" w:pos="0"/>
        </w:tabs>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rPr>
        <w:t>2、供货商应以诚信为本，严禁制造、销售假盐。服务期内，如出现非正品情况或质量等问题，对采购人造成人身安全、财产损失及责任事故的，采购人有权单方面解除合同，向成交供应商扣罚合同总金额5(%)的违约金，并向供货商追求由此造成的一切损失及责任。</w:t>
      </w:r>
    </w:p>
    <w:p>
      <w:pPr>
        <w:widowControl/>
        <w:tabs>
          <w:tab w:val="left" w:pos="0"/>
        </w:tabs>
        <w:spacing w:line="360" w:lineRule="auto"/>
        <w:ind w:firstLine="420" w:firstLineChars="200"/>
        <w:jc w:val="left"/>
        <w:rPr>
          <w:rFonts w:hint="eastAsia" w:ascii="宋体" w:hAnsi="宋体"/>
          <w:szCs w:val="21"/>
        </w:rPr>
      </w:pPr>
      <w:r>
        <w:rPr>
          <w:rFonts w:hint="eastAsia" w:ascii="宋体" w:hAnsi="宋体"/>
          <w:szCs w:val="21"/>
        </w:rPr>
        <w:t>▲3、在协议供货期内，成交供应商应保证充足的货源，如产品遇到停产情况的，成交供应商需提前15天书面告知采购人并经采购人同意后，提供等同于或优于原参数的产品供采购人使用，不得断供。</w:t>
      </w:r>
    </w:p>
    <w:p>
      <w:pPr>
        <w:widowControl/>
        <w:tabs>
          <w:tab w:val="left" w:pos="0"/>
        </w:tabs>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rPr>
        <w:t>4、供应商所供应的货物须与响应报价文件中的品牌、规格、产地、厂家相符，并符合国家或行业标准。若不相符的，采购人有权拒收，损失由成交供应商自行负责并承担违约责任。</w:t>
      </w:r>
    </w:p>
    <w:p>
      <w:pPr>
        <w:widowControl/>
        <w:tabs>
          <w:tab w:val="left" w:pos="0"/>
        </w:tabs>
        <w:spacing w:line="360" w:lineRule="auto"/>
        <w:ind w:firstLine="420" w:firstLineChars="200"/>
        <w:jc w:val="left"/>
        <w:rPr>
          <w:rFonts w:hint="eastAsia" w:ascii="宋体" w:hAnsi="宋体"/>
          <w:szCs w:val="21"/>
        </w:rPr>
      </w:pPr>
      <w:r>
        <w:rPr>
          <w:rFonts w:hint="eastAsia" w:ascii="宋体" w:hAnsi="宋体"/>
          <w:szCs w:val="21"/>
        </w:rPr>
        <w:t>▲5、质保期：当次所送货物质保期为验收合格之日起壹年，质保期内成交供应商须提供“包退、包换、包修”的质量“三包”服务。货物若不符合符合国家或行业标准、磋商文件参数要求的，采购人有权拒收，成交供应商应无条件退换货，退换期限为2个工作日，由此产生的一切费用由成交供应商承担。</w:t>
      </w:r>
    </w:p>
    <w:p>
      <w:pPr>
        <w:widowControl/>
        <w:tabs>
          <w:tab w:val="left" w:pos="0"/>
        </w:tabs>
        <w:spacing w:line="360" w:lineRule="auto"/>
        <w:ind w:firstLine="420" w:firstLineChars="200"/>
        <w:jc w:val="left"/>
        <w:rPr>
          <w:rFonts w:hint="eastAsia" w:ascii="宋体" w:hAnsi="宋体"/>
          <w:szCs w:val="21"/>
        </w:rPr>
      </w:pPr>
      <w:r>
        <w:rPr>
          <w:rFonts w:hint="eastAsia" w:ascii="宋体" w:hAnsi="宋体"/>
          <w:szCs w:val="21"/>
        </w:rPr>
        <w:t>▲6、质保期内，成交供应商应提供24小时响应服务，到达现场时间为2小时，解决问题时间为到达现场后4小时内，若到场后4小时内仍未能有效解决，成交供应商须免费提供等同或优质于原参数的产品供采购人使用，否则采购人有权另行自行采购，所产生的费用由成交供应商承担，如因此造成采购人损失，成交供应商承担赔偿责任。</w:t>
      </w:r>
    </w:p>
    <w:p>
      <w:pPr>
        <w:widowControl/>
        <w:tabs>
          <w:tab w:val="left" w:pos="0"/>
        </w:tabs>
        <w:spacing w:line="360" w:lineRule="auto"/>
        <w:ind w:firstLine="420" w:firstLineChars="200"/>
        <w:jc w:val="left"/>
        <w:rPr>
          <w:rFonts w:hint="eastAsia" w:ascii="宋体" w:hAnsi="宋体"/>
          <w:szCs w:val="21"/>
        </w:rPr>
      </w:pPr>
      <w:r>
        <w:rPr>
          <w:rFonts w:hint="eastAsia" w:ascii="宋体" w:hAnsi="宋体"/>
          <w:szCs w:val="21"/>
        </w:rPr>
        <w:t>★7</w:t>
      </w:r>
      <w:r>
        <w:rPr>
          <w:rFonts w:hint="eastAsia" w:ascii="宋体" w:hAnsi="宋体"/>
          <w:szCs w:val="21"/>
        </w:rPr>
        <w:t>、成交供应商所供产品须符合卫生标准，商标清晰、规范，有外包装。凡因产品质量问题或服务质量出现用户投诉的，成交供应商应在1小时内到达现场处理，尽一切办法将损害降到最低，并承担因成交供应商原因所导致的责任。因成交供应商责任被投诉，经查证后属实的扣罚500</w:t>
      </w:r>
      <w:r>
        <w:rPr>
          <w:rFonts w:hint="eastAsia" w:ascii="宋体" w:hAnsi="宋体"/>
          <w:szCs w:val="21"/>
        </w:rPr>
        <w:t>元/</w:t>
      </w:r>
      <w:r>
        <w:rPr>
          <w:rFonts w:hint="eastAsia" w:ascii="宋体" w:hAnsi="宋体"/>
          <w:szCs w:val="21"/>
        </w:rPr>
        <w:t>次，供货期内所有货物在使用过程中发现以次充好或使用假冒伪劣产品的，成交供应商须无条件更换货物。此种情况超过2次或以上的，履约保证金不予以退还，采购人有权单方终止合同。</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验收</w:t>
      </w:r>
    </w:p>
    <w:p>
      <w:pPr>
        <w:widowControl/>
        <w:tabs>
          <w:tab w:val="left" w:pos="0"/>
        </w:tabs>
        <w:spacing w:line="360" w:lineRule="auto"/>
        <w:ind w:firstLine="420" w:firstLineChars="200"/>
        <w:jc w:val="left"/>
        <w:rPr>
          <w:rFonts w:ascii="宋体" w:hAnsi="宋体"/>
          <w:szCs w:val="21"/>
        </w:rPr>
      </w:pPr>
      <w:r>
        <w:rPr>
          <w:rFonts w:hint="eastAsia" w:ascii="宋体" w:hAnsi="宋体"/>
          <w:szCs w:val="21"/>
        </w:rPr>
        <w:t>1、成交供应商将货物送货至采购人指定地点后，由采购人按照采购合同及相关报价文件进行核对，根据国家相关法律法规，对货物的技术规格要求和质量标准进行检查验收。</w:t>
      </w:r>
    </w:p>
    <w:p>
      <w:pPr>
        <w:widowControl/>
        <w:tabs>
          <w:tab w:val="left" w:pos="0"/>
        </w:tabs>
        <w:spacing w:line="360" w:lineRule="auto"/>
        <w:ind w:firstLine="420" w:firstLineChars="200"/>
        <w:jc w:val="left"/>
        <w:rPr>
          <w:rFonts w:ascii="宋体" w:hAnsi="宋体"/>
          <w:szCs w:val="21"/>
        </w:rPr>
      </w:pPr>
      <w:r>
        <w:rPr>
          <w:rFonts w:hint="eastAsia" w:ascii="宋体" w:hAnsi="宋体"/>
          <w:szCs w:val="21"/>
        </w:rPr>
        <w:t>2、货物不符合采购人要求或表面瑕疵的，采购人可在验收时当面提出。在验收过程中发现数量不足或有质量不符合要求等问题，成交供应商应负责按照采购人的要求采取补足、更换或退货等处理措施，并承担由此发生的一切费用和损失。</w:t>
      </w:r>
    </w:p>
    <w:p>
      <w:pPr>
        <w:widowControl/>
        <w:tabs>
          <w:tab w:val="left" w:pos="0"/>
        </w:tabs>
        <w:spacing w:line="360" w:lineRule="auto"/>
        <w:ind w:firstLine="420" w:firstLineChars="200"/>
        <w:jc w:val="left"/>
        <w:rPr>
          <w:rFonts w:ascii="宋体" w:hAnsi="宋体"/>
          <w:szCs w:val="21"/>
        </w:rPr>
      </w:pPr>
      <w:r>
        <w:rPr>
          <w:rFonts w:hint="eastAsia" w:ascii="宋体" w:hAnsi="宋体"/>
          <w:szCs w:val="21"/>
        </w:rPr>
        <w:t>3、所有货物在使用过程中发现以次充好或使用假冒伪劣产品的，成交供应商应无条件更换货物，且采购人按成交货物价格×更换货物数量之总值的5倍金额向成交供应商扣罚违约金。此种情况超过3次或以上的，履约保证金不予以退还，采购人有权单方终止合同。</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付款方式</w:t>
      </w:r>
    </w:p>
    <w:p>
      <w:pPr>
        <w:spacing w:line="360" w:lineRule="auto"/>
        <w:ind w:firstLine="241" w:firstLineChars="100"/>
        <w:rPr>
          <w:rFonts w:ascii="宋体" w:hAnsi="宋体"/>
          <w:szCs w:val="21"/>
        </w:rPr>
      </w:pPr>
      <w:r>
        <w:rPr>
          <w:rFonts w:hint="eastAsia" w:asciiTheme="minorEastAsia" w:hAnsiTheme="minorEastAsia"/>
          <w:b/>
          <w:bCs/>
          <w:sz w:val="24"/>
        </w:rPr>
        <w:t>★</w:t>
      </w:r>
      <w:r>
        <w:rPr>
          <w:rFonts w:hint="eastAsia" w:ascii="宋体" w:hAnsi="宋体"/>
          <w:szCs w:val="21"/>
        </w:rPr>
        <w:t>1、成交供应商与采购人签订合同后5个工作日内需向采购人（甲方）交合同总金额的5%作为履约保证金。履约保证金的退还为最后一批送货验收合格后一个月内一次性退还。如有违约事项，采购人根据约定条款扣款，剩余款项予以无息退还。</w:t>
      </w:r>
    </w:p>
    <w:p>
      <w:pPr>
        <w:spacing w:line="360" w:lineRule="auto"/>
        <w:ind w:firstLine="420" w:firstLineChars="200"/>
        <w:rPr>
          <w:rFonts w:ascii="宋体" w:hAnsi="宋体"/>
          <w:szCs w:val="21"/>
        </w:rPr>
      </w:pPr>
      <w:r>
        <w:rPr>
          <w:rFonts w:hint="eastAsia" w:ascii="宋体" w:hAnsi="宋体"/>
          <w:szCs w:val="21"/>
        </w:rPr>
        <w:t>2、合同签订后，供货期内采购人可按照实际使用需要分批次要求成交供应商供货。合同无预付款，每批次订货无预付款。</w:t>
      </w:r>
    </w:p>
    <w:p>
      <w:pPr>
        <w:spacing w:line="360" w:lineRule="auto"/>
        <w:ind w:firstLine="420" w:firstLineChars="200"/>
        <w:rPr>
          <w:rFonts w:ascii="宋体" w:hAnsi="宋体"/>
          <w:szCs w:val="21"/>
        </w:rPr>
      </w:pPr>
      <w:r>
        <w:rPr>
          <w:rFonts w:hint="eastAsia" w:ascii="宋体" w:hAnsi="宋体"/>
          <w:szCs w:val="21"/>
        </w:rPr>
        <w:t>3、按批次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spacing w:line="360" w:lineRule="auto"/>
        <w:ind w:firstLine="420" w:firstLineChars="200"/>
        <w:rPr>
          <w:rFonts w:ascii="宋体" w:hAnsi="宋体"/>
          <w:szCs w:val="21"/>
        </w:rPr>
      </w:pPr>
      <w:r>
        <w:rPr>
          <w:rFonts w:hint="eastAsia" w:ascii="宋体" w:hAnsi="宋体"/>
          <w:szCs w:val="21"/>
        </w:rPr>
        <w:t>4、成交供应商须开具与响应文件中报价人名称、响应报价一致的普通发票。</w:t>
      </w: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rPr>
      </w:pPr>
    </w:p>
    <w:p>
      <w:pPr>
        <w:pStyle w:val="3"/>
        <w:rPr>
          <w:rFonts w:hint="eastAsia" w:ascii="宋体" w:hAnsi="宋体" w:cs="宋体"/>
          <w:bCs/>
          <w:szCs w:val="21"/>
        </w:rPr>
      </w:pPr>
    </w:p>
    <w:p>
      <w:pPr>
        <w:rPr>
          <w:rFonts w:hint="eastAsia" w:ascii="宋体" w:hAnsi="宋体" w:cs="宋体"/>
          <w:bCs/>
          <w:szCs w:val="21"/>
        </w:rPr>
      </w:pPr>
    </w:p>
    <w:p>
      <w:pPr>
        <w:pStyle w:val="2"/>
      </w:pPr>
    </w:p>
    <w:p>
      <w:pPr>
        <w:pStyle w:val="19"/>
        <w:ind w:firstLine="0" w:firstLineChars="0"/>
      </w:pPr>
    </w:p>
    <w:p>
      <w:pPr>
        <w:pStyle w:val="2"/>
        <w:rPr>
          <w:rFonts w:hint="eastAsia" w:ascii="宋体" w:hAnsi="宋体" w:eastAsia="宋体" w:cs="宋体"/>
          <w:sz w:val="44"/>
          <w:szCs w:val="44"/>
          <w:lang w:val="en-US" w:eastAsia="zh-CN"/>
        </w:rPr>
      </w:pPr>
    </w:p>
    <w:p>
      <w:pPr>
        <w:pStyle w:val="3"/>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3"/>
        <w:rPr>
          <w:rFonts w:hint="eastAsia"/>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8"/>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tabs>
          <w:tab w:val="left" w:pos="540"/>
          <w:tab w:val="left" w:pos="780"/>
        </w:tabs>
        <w:spacing w:line="360" w:lineRule="auto"/>
        <w:jc w:val="center"/>
        <w:rPr>
          <w:rFonts w:ascii="宋体" w:hAnsi="宋体"/>
          <w:sz w:val="24"/>
        </w:rPr>
      </w:pPr>
      <w:r>
        <w:rPr>
          <w:rFonts w:hint="eastAsia" w:ascii="宋体" w:hAnsi="宋体"/>
          <w:b/>
          <w:sz w:val="24"/>
        </w:rPr>
        <w:t>评标分值比例</w:t>
      </w:r>
    </w:p>
    <w:tbl>
      <w:tblPr>
        <w:tblStyle w:val="14"/>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712"/>
        <w:gridCol w:w="2700"/>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77" w:type="dxa"/>
            <w:vAlign w:val="center"/>
          </w:tcPr>
          <w:p>
            <w:pPr>
              <w:widowControl/>
              <w:jc w:val="center"/>
              <w:rPr>
                <w:rFonts w:ascii="宋体" w:hAnsi="宋体"/>
                <w:b/>
                <w:kern w:val="0"/>
                <w:szCs w:val="21"/>
              </w:rPr>
            </w:pPr>
            <w:r>
              <w:rPr>
                <w:rFonts w:hint="eastAsia" w:ascii="宋体" w:hAnsi="宋体"/>
                <w:b/>
                <w:kern w:val="0"/>
                <w:szCs w:val="21"/>
              </w:rPr>
              <w:t>评分项目</w:t>
            </w:r>
          </w:p>
        </w:tc>
        <w:tc>
          <w:tcPr>
            <w:tcW w:w="2712" w:type="dxa"/>
            <w:vAlign w:val="center"/>
          </w:tcPr>
          <w:p>
            <w:pPr>
              <w:widowControl/>
              <w:jc w:val="center"/>
              <w:rPr>
                <w:rFonts w:ascii="宋体" w:hAnsi="宋体"/>
                <w:b/>
                <w:kern w:val="0"/>
                <w:szCs w:val="21"/>
              </w:rPr>
            </w:pPr>
            <w:r>
              <w:rPr>
                <w:rFonts w:hint="eastAsia" w:ascii="宋体" w:hAnsi="宋体"/>
                <w:b/>
                <w:kern w:val="0"/>
                <w:szCs w:val="21"/>
              </w:rPr>
              <w:t>技术商务评分</w:t>
            </w:r>
          </w:p>
        </w:tc>
        <w:tc>
          <w:tcPr>
            <w:tcW w:w="2700" w:type="dxa"/>
            <w:vAlign w:val="center"/>
          </w:tcPr>
          <w:p>
            <w:pPr>
              <w:widowControl/>
              <w:jc w:val="center"/>
              <w:rPr>
                <w:rFonts w:ascii="宋体" w:hAnsi="宋体"/>
                <w:b/>
                <w:kern w:val="0"/>
                <w:szCs w:val="21"/>
              </w:rPr>
            </w:pPr>
            <w:r>
              <w:rPr>
                <w:rFonts w:hint="eastAsia" w:ascii="宋体" w:hAnsi="宋体"/>
                <w:b/>
                <w:kern w:val="0"/>
                <w:szCs w:val="21"/>
              </w:rPr>
              <w:t>价格评分</w:t>
            </w:r>
          </w:p>
        </w:tc>
        <w:tc>
          <w:tcPr>
            <w:tcW w:w="1882" w:type="dxa"/>
            <w:vAlign w:val="center"/>
          </w:tcPr>
          <w:p>
            <w:pPr>
              <w:widowControl/>
              <w:jc w:val="center"/>
              <w:rPr>
                <w:rFonts w:ascii="宋体" w:hAnsi="宋体"/>
                <w:b/>
                <w:kern w:val="0"/>
                <w:szCs w:val="21"/>
              </w:rPr>
            </w:pPr>
            <w:r>
              <w:rPr>
                <w:rFonts w:hint="eastAsia" w:ascii="宋体" w:hAnsi="宋体"/>
                <w:b/>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77" w:type="dxa"/>
            <w:vAlign w:val="center"/>
          </w:tcPr>
          <w:p>
            <w:pPr>
              <w:widowControl/>
              <w:jc w:val="center"/>
              <w:rPr>
                <w:rFonts w:ascii="宋体" w:hAnsi="宋体"/>
                <w:b/>
                <w:kern w:val="0"/>
                <w:szCs w:val="21"/>
              </w:rPr>
            </w:pPr>
            <w:r>
              <w:rPr>
                <w:rFonts w:hint="eastAsia" w:ascii="宋体" w:hAnsi="宋体"/>
                <w:b/>
                <w:kern w:val="0"/>
                <w:szCs w:val="21"/>
              </w:rPr>
              <w:t>权    重</w:t>
            </w:r>
          </w:p>
        </w:tc>
        <w:tc>
          <w:tcPr>
            <w:tcW w:w="2712" w:type="dxa"/>
            <w:vAlign w:val="center"/>
          </w:tcPr>
          <w:p>
            <w:pPr>
              <w:widowControl/>
              <w:jc w:val="center"/>
              <w:rPr>
                <w:rFonts w:hint="default" w:ascii="宋体" w:hAnsi="宋体" w:eastAsia="宋体"/>
                <w:kern w:val="0"/>
                <w:szCs w:val="21"/>
                <w:lang w:val="en-US" w:eastAsia="zh-CN"/>
              </w:rPr>
            </w:pPr>
            <w:r>
              <w:rPr>
                <w:rFonts w:hint="eastAsia" w:ascii="宋体" w:hAnsi="宋体"/>
                <w:kern w:val="0"/>
                <w:szCs w:val="21"/>
                <w:lang w:val="en-US" w:eastAsia="zh-CN"/>
              </w:rPr>
              <w:t>70分</w:t>
            </w:r>
          </w:p>
        </w:tc>
        <w:tc>
          <w:tcPr>
            <w:tcW w:w="2700" w:type="dxa"/>
            <w:vAlign w:val="center"/>
          </w:tcPr>
          <w:p>
            <w:pPr>
              <w:widowControl/>
              <w:jc w:val="center"/>
              <w:rPr>
                <w:rFonts w:ascii="宋体" w:hAnsi="宋体"/>
                <w:kern w:val="0"/>
                <w:szCs w:val="21"/>
              </w:rPr>
            </w:pPr>
            <w:r>
              <w:rPr>
                <w:rFonts w:hint="eastAsia" w:ascii="宋体" w:hAnsi="宋体"/>
                <w:kern w:val="0"/>
                <w:szCs w:val="21"/>
                <w:lang w:val="en-US" w:eastAsia="zh-CN"/>
              </w:rPr>
              <w:t>30</w:t>
            </w:r>
            <w:r>
              <w:rPr>
                <w:rFonts w:hint="eastAsia" w:ascii="宋体" w:hAnsi="宋体"/>
                <w:kern w:val="0"/>
                <w:szCs w:val="21"/>
              </w:rPr>
              <w:t>分</w:t>
            </w:r>
          </w:p>
        </w:tc>
        <w:tc>
          <w:tcPr>
            <w:tcW w:w="1882" w:type="dxa"/>
            <w:vAlign w:val="center"/>
          </w:tcPr>
          <w:p>
            <w:pPr>
              <w:widowControl/>
              <w:jc w:val="center"/>
              <w:rPr>
                <w:rFonts w:ascii="宋体" w:hAnsi="宋体"/>
                <w:kern w:val="0"/>
                <w:szCs w:val="21"/>
              </w:rPr>
            </w:pPr>
            <w:r>
              <w:rPr>
                <w:rFonts w:hint="eastAsia" w:ascii="宋体" w:hAnsi="宋体"/>
                <w:kern w:val="0"/>
                <w:szCs w:val="21"/>
              </w:rPr>
              <w:t>100分</w:t>
            </w:r>
          </w:p>
        </w:tc>
      </w:tr>
    </w:tbl>
    <w:p>
      <w:pPr>
        <w:tabs>
          <w:tab w:val="left" w:pos="630"/>
        </w:tabs>
        <w:autoSpaceDE w:val="0"/>
        <w:autoSpaceDN w:val="0"/>
        <w:adjustRightInd w:val="0"/>
        <w:spacing w:line="360" w:lineRule="auto"/>
        <w:rPr>
          <w:rFonts w:ascii="宋体" w:cs="宋体"/>
          <w:szCs w:val="21"/>
        </w:rPr>
      </w:pPr>
    </w:p>
    <w:tbl>
      <w:tblPr>
        <w:tblStyle w:val="14"/>
        <w:tblpPr w:leftFromText="180" w:rightFromText="180" w:vertAnchor="text" w:horzAnchor="page" w:tblpXSpec="center" w:tblpY="432"/>
        <w:tblOverlap w:val="never"/>
        <w:tblW w:w="94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9"/>
        <w:gridCol w:w="1368"/>
        <w:gridCol w:w="5946"/>
        <w:gridCol w:w="13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jc w:val="center"/>
        </w:trPr>
        <w:tc>
          <w:tcPr>
            <w:tcW w:w="789" w:type="dxa"/>
            <w:vAlign w:val="center"/>
          </w:tcPr>
          <w:p>
            <w:pPr>
              <w:ind w:left="-78" w:leftChars="-37" w:right="-73" w:rightChars="-35"/>
              <w:jc w:val="center"/>
              <w:rPr>
                <w:rFonts w:ascii="宋体" w:hAnsi="宋体" w:cs="宋体"/>
                <w:b/>
              </w:rPr>
            </w:pPr>
            <w:r>
              <w:rPr>
                <w:rFonts w:hint="eastAsia" w:ascii="宋体" w:hAnsi="宋体" w:cs="宋体"/>
                <w:b/>
              </w:rPr>
              <w:t>序号</w:t>
            </w:r>
          </w:p>
        </w:tc>
        <w:tc>
          <w:tcPr>
            <w:tcW w:w="1368" w:type="dxa"/>
            <w:vAlign w:val="center"/>
          </w:tcPr>
          <w:p>
            <w:pPr>
              <w:ind w:left="-78" w:leftChars="-37" w:right="-73" w:rightChars="-35"/>
              <w:jc w:val="center"/>
              <w:rPr>
                <w:rFonts w:ascii="宋体" w:hAnsi="宋体" w:cs="宋体"/>
                <w:b/>
              </w:rPr>
            </w:pPr>
            <w:r>
              <w:rPr>
                <w:rFonts w:hint="eastAsia" w:ascii="宋体" w:hAnsi="宋体" w:cs="宋体"/>
                <w:b/>
              </w:rPr>
              <w:t>评审因素</w:t>
            </w:r>
          </w:p>
        </w:tc>
        <w:tc>
          <w:tcPr>
            <w:tcW w:w="5946" w:type="dxa"/>
            <w:vAlign w:val="center"/>
          </w:tcPr>
          <w:p>
            <w:pPr>
              <w:ind w:left="-78" w:leftChars="-37" w:right="-73" w:rightChars="-35"/>
              <w:jc w:val="center"/>
              <w:rPr>
                <w:rFonts w:ascii="宋体" w:hAnsi="宋体" w:cs="宋体"/>
                <w:b/>
              </w:rPr>
            </w:pPr>
            <w:r>
              <w:rPr>
                <w:rFonts w:hint="eastAsia" w:ascii="宋体" w:hAnsi="宋体" w:cs="宋体"/>
                <w:b/>
              </w:rPr>
              <w:t>评分细则</w:t>
            </w:r>
          </w:p>
        </w:tc>
        <w:tc>
          <w:tcPr>
            <w:tcW w:w="1332" w:type="dxa"/>
            <w:tcBorders>
              <w:lef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9" w:hRule="atLeast"/>
          <w:jc w:val="center"/>
        </w:trPr>
        <w:tc>
          <w:tcPr>
            <w:tcW w:w="789" w:type="dxa"/>
            <w:vAlign w:val="center"/>
          </w:tcPr>
          <w:p>
            <w:pPr>
              <w:pStyle w:val="19"/>
              <w:numPr>
                <w:ilvl w:val="0"/>
                <w:numId w:val="9"/>
              </w:numPr>
              <w:ind w:firstLineChars="0"/>
              <w:jc w:val="center"/>
              <w:rPr>
                <w:rFonts w:ascii="宋体" w:hAnsi="宋体"/>
                <w:szCs w:val="21"/>
              </w:rPr>
            </w:pPr>
          </w:p>
        </w:tc>
        <w:tc>
          <w:tcPr>
            <w:tcW w:w="1368" w:type="dxa"/>
            <w:vAlign w:val="center"/>
          </w:tcPr>
          <w:p>
            <w:pPr>
              <w:jc w:val="center"/>
              <w:textAlignment w:val="center"/>
              <w:rPr>
                <w:rFonts w:asciiTheme="majorEastAsia" w:hAnsiTheme="majorEastAsia" w:eastAsiaTheme="majorEastAsia" w:cstheme="majorEastAsia"/>
                <w:szCs w:val="21"/>
              </w:rPr>
            </w:pPr>
            <w:r>
              <w:rPr>
                <w:rFonts w:hint="eastAsia" w:ascii="宋体" w:hAnsi="宋体" w:cs="宋体"/>
                <w:szCs w:val="21"/>
              </w:rPr>
              <w:t>企业资质及信用</w:t>
            </w:r>
          </w:p>
        </w:tc>
        <w:tc>
          <w:tcPr>
            <w:tcW w:w="5946" w:type="dxa"/>
            <w:vAlign w:val="center"/>
          </w:tcPr>
          <w:p>
            <w:pPr>
              <w:rPr>
                <w:rFonts w:ascii="宋体" w:hAnsi="宋体" w:cs="宋体"/>
                <w:szCs w:val="21"/>
              </w:rPr>
            </w:pPr>
            <w:r>
              <w:rPr>
                <w:rFonts w:ascii="宋体" w:hAnsi="宋体" w:cs="宋体"/>
                <w:szCs w:val="21"/>
              </w:rPr>
              <w:t>1</w:t>
            </w:r>
            <w:r>
              <w:rPr>
                <w:rFonts w:hint="eastAsia" w:ascii="宋体" w:hAnsi="宋体" w:cs="宋体"/>
                <w:szCs w:val="21"/>
              </w:rPr>
              <w:t>、供应商提供</w:t>
            </w:r>
            <w:r>
              <w:rPr>
                <w:rFonts w:hint="eastAsia" w:ascii="宋体" w:hAnsi="宋体"/>
                <w:color w:val="000000" w:themeColor="text1"/>
                <w:szCs w:val="21"/>
                <w14:textFill>
                  <w14:solidFill>
                    <w14:schemeClr w14:val="tx1"/>
                  </w14:solidFill>
                </w14:textFill>
              </w:rPr>
              <w:t>具有有效中华人民共和国企业法人营业执照复印件，得1分。（需加盖供应商公章）</w:t>
            </w:r>
          </w:p>
          <w:p>
            <w:pPr>
              <w:rPr>
                <w:rFonts w:ascii="宋体" w:hAnsi="宋体" w:cs="宋体"/>
                <w:szCs w:val="21"/>
              </w:rPr>
            </w:pPr>
            <w:r>
              <w:rPr>
                <w:rFonts w:hint="eastAsia" w:ascii="宋体" w:hAnsi="宋体" w:cs="宋体"/>
                <w:szCs w:val="21"/>
              </w:rPr>
              <w:t>2、供应商提供由中国人民银行或合法第三方信用服务机构出具的企业信用报告或信用记录，得5分，不提供不得分。</w:t>
            </w:r>
          </w:p>
          <w:p>
            <w:pPr>
              <w:rPr>
                <w:rFonts w:ascii="宋体" w:hAnsi="宋体" w:cs="宋体"/>
                <w:b/>
                <w:bCs/>
                <w:szCs w:val="21"/>
              </w:rPr>
            </w:pPr>
            <w:r>
              <w:rPr>
                <w:rFonts w:hint="eastAsia" w:ascii="宋体" w:hAnsi="宋体" w:cs="宋体"/>
                <w:b/>
                <w:bCs/>
                <w:szCs w:val="21"/>
              </w:rPr>
              <w:t>注：（1）响应文件中提供信用报告或信用记录复印件加盖供应商公章。</w:t>
            </w:r>
          </w:p>
          <w:p>
            <w:pPr>
              <w:rPr>
                <w:rFonts w:asciiTheme="minorEastAsia" w:hAnsiTheme="minorEastAsia" w:eastAsiaTheme="minorEastAsia" w:cstheme="minorEastAsia"/>
                <w:szCs w:val="21"/>
              </w:rPr>
            </w:pPr>
            <w:r>
              <w:rPr>
                <w:rFonts w:hint="eastAsia" w:ascii="宋体" w:hAnsi="宋体" w:cs="宋体"/>
                <w:b/>
                <w:bCs/>
                <w:szCs w:val="21"/>
              </w:rPr>
              <w:t xml:space="preserve">（2）如为第三方信用服务机构出具的企业信用报告或信用记录，须提供该机构在中国人民银行的备案证明资料，没有提供备案证明资料不得分，备案证明资料可为复印件加盖供应商公章或者原件。 </w:t>
            </w:r>
          </w:p>
        </w:tc>
        <w:tc>
          <w:tcPr>
            <w:tcW w:w="1332" w:type="dxa"/>
            <w:tcBorders>
              <w:left w:val="single" w:color="auto" w:sz="4" w:space="0"/>
            </w:tcBorders>
            <w:vAlign w:val="center"/>
          </w:tcPr>
          <w:p>
            <w:pPr>
              <w:ind w:left="105" w:leftChars="0" w:hanging="105" w:firstLineChars="0"/>
              <w:jc w:val="center"/>
              <w:textAlignment w:val="center"/>
              <w:rPr>
                <w:rFonts w:asciiTheme="minorEastAsia" w:hAnsiTheme="minorEastAsia" w:eastAsiaTheme="minorEastAsia" w:cstheme="minorEastAsia"/>
                <w:szCs w:val="21"/>
              </w:rPr>
            </w:pPr>
            <w:r>
              <w:rPr>
                <w:rFonts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7" w:hRule="atLeast"/>
          <w:jc w:val="center"/>
        </w:trPr>
        <w:tc>
          <w:tcPr>
            <w:tcW w:w="789" w:type="dxa"/>
            <w:vAlign w:val="center"/>
          </w:tcPr>
          <w:p>
            <w:pPr>
              <w:pStyle w:val="19"/>
              <w:numPr>
                <w:ilvl w:val="0"/>
                <w:numId w:val="9"/>
              </w:numPr>
              <w:ind w:firstLineChars="0"/>
              <w:jc w:val="center"/>
              <w:rPr>
                <w:rFonts w:ascii="宋体" w:hAnsi="宋体"/>
                <w:szCs w:val="21"/>
              </w:rPr>
            </w:pPr>
          </w:p>
        </w:tc>
        <w:tc>
          <w:tcPr>
            <w:tcW w:w="1368" w:type="dxa"/>
            <w:vAlign w:val="center"/>
          </w:tcPr>
          <w:p>
            <w:pPr>
              <w:jc w:val="center"/>
              <w:textAlignment w:val="center"/>
              <w:rPr>
                <w:rFonts w:asciiTheme="majorEastAsia" w:hAnsiTheme="majorEastAsia" w:eastAsiaTheme="majorEastAsia" w:cstheme="majorEastAsia"/>
                <w:bCs/>
                <w:szCs w:val="21"/>
              </w:rPr>
            </w:pPr>
            <w:r>
              <w:rPr>
                <w:rFonts w:hint="eastAsia" w:ascii="宋体" w:hAnsi="宋体" w:cs="宋体"/>
                <w:szCs w:val="21"/>
              </w:rPr>
              <w:t>业绩经验</w:t>
            </w:r>
          </w:p>
        </w:tc>
        <w:tc>
          <w:tcPr>
            <w:tcW w:w="5946" w:type="dxa"/>
            <w:vAlign w:val="center"/>
          </w:tcPr>
          <w:p>
            <w:pPr>
              <w:rPr>
                <w:rFonts w:ascii="宋体" w:hAnsi="宋体" w:cs="宋体"/>
                <w:szCs w:val="21"/>
              </w:rPr>
            </w:pPr>
            <w:r>
              <w:rPr>
                <w:rFonts w:hint="eastAsia" w:ascii="宋体" w:hAnsi="宋体" w:cs="宋体"/>
                <w:szCs w:val="21"/>
              </w:rPr>
              <w:t>供应商2020年1月1日至今（以合同同签订时间为准）承接同类业绩（以供应商本公司签订的合同，或是供应商作为经销商代理签订的合同均有效），每提供一项得0.5分，最高得5分。</w:t>
            </w:r>
          </w:p>
          <w:p>
            <w:pPr>
              <w:rPr>
                <w:rFonts w:asciiTheme="minorEastAsia" w:hAnsiTheme="minorEastAsia" w:eastAsiaTheme="minorEastAsia" w:cstheme="minorEastAsia"/>
                <w:szCs w:val="21"/>
              </w:rPr>
            </w:pPr>
            <w:r>
              <w:rPr>
                <w:rFonts w:hint="eastAsia" w:ascii="宋体" w:hAnsi="宋体" w:cs="宋体"/>
                <w:b/>
                <w:bCs/>
                <w:szCs w:val="21"/>
              </w:rPr>
              <w:t>注：响应文件中提供合同复印件加盖供应商公章，</w:t>
            </w:r>
            <w:r>
              <w:rPr>
                <w:rFonts w:hint="eastAsia" w:ascii="宋体" w:hAnsi="宋体" w:cs="宋体"/>
                <w:b/>
                <w:szCs w:val="21"/>
              </w:rPr>
              <w:t>未提供不得分。</w:t>
            </w:r>
          </w:p>
        </w:tc>
        <w:tc>
          <w:tcPr>
            <w:tcW w:w="1332" w:type="dxa"/>
            <w:tcBorders>
              <w:left w:val="single" w:color="auto" w:sz="4" w:space="0"/>
            </w:tcBorders>
            <w:vAlign w:val="center"/>
          </w:tcPr>
          <w:p>
            <w:pPr>
              <w:ind w:left="105" w:leftChars="0" w:hanging="105" w:firstLineChars="0"/>
              <w:jc w:val="center"/>
              <w:textAlignment w:val="center"/>
              <w:rPr>
                <w:rFonts w:asciiTheme="minorEastAsia" w:hAnsiTheme="minorEastAsia" w:eastAsiaTheme="minorEastAsia" w:cstheme="minorEastAsia"/>
                <w:szCs w:val="21"/>
              </w:rPr>
            </w:pPr>
            <w:r>
              <w:rPr>
                <w:rFonts w:hint="eastAsia" w:ascii="宋体" w:hAnsi="宋体" w:cs="宋体"/>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1" w:hRule="atLeast"/>
          <w:jc w:val="center"/>
        </w:trPr>
        <w:tc>
          <w:tcPr>
            <w:tcW w:w="789" w:type="dxa"/>
            <w:vAlign w:val="center"/>
          </w:tcPr>
          <w:p>
            <w:pPr>
              <w:pStyle w:val="19"/>
              <w:numPr>
                <w:ilvl w:val="0"/>
                <w:numId w:val="9"/>
              </w:numPr>
              <w:ind w:firstLineChars="0"/>
              <w:jc w:val="center"/>
              <w:rPr>
                <w:rFonts w:ascii="宋体" w:hAnsi="宋体"/>
                <w:szCs w:val="21"/>
              </w:rPr>
            </w:pPr>
          </w:p>
        </w:tc>
        <w:tc>
          <w:tcPr>
            <w:tcW w:w="1368" w:type="dxa"/>
            <w:vAlign w:val="center"/>
          </w:tcPr>
          <w:p>
            <w:pPr>
              <w:jc w:val="center"/>
              <w:textAlignment w:val="center"/>
              <w:rPr>
                <w:rFonts w:asciiTheme="majorEastAsia" w:hAnsiTheme="majorEastAsia" w:eastAsiaTheme="majorEastAsia" w:cstheme="majorEastAsia"/>
                <w:bCs/>
                <w:szCs w:val="21"/>
              </w:rPr>
            </w:pPr>
            <w:r>
              <w:rPr>
                <w:rFonts w:hint="eastAsia" w:ascii="宋体" w:hAnsi="宋体" w:cs="宋体"/>
                <w:szCs w:val="21"/>
                <w:highlight w:val="none"/>
              </w:rPr>
              <w:t>货物质量</w:t>
            </w:r>
          </w:p>
        </w:tc>
        <w:tc>
          <w:tcPr>
            <w:tcW w:w="5946" w:type="dxa"/>
            <w:vAlign w:val="center"/>
          </w:tcPr>
          <w:p>
            <w:pPr>
              <w:rPr>
                <w:rFonts w:hint="eastAsia" w:ascii="宋体" w:hAnsi="宋体" w:cs="宋体"/>
                <w:szCs w:val="21"/>
              </w:rPr>
            </w:pPr>
            <w:r>
              <w:rPr>
                <w:rFonts w:hint="eastAsia" w:ascii="宋体" w:hAnsi="宋体" w:cs="宋体"/>
                <w:szCs w:val="21"/>
              </w:rPr>
              <w:t>1、供应商在经营过程中无出现重大产品事故，未出现质量事故，得3分，出现事故不得分，并不列入合格供方。</w:t>
            </w:r>
          </w:p>
          <w:p>
            <w:pPr>
              <w:rPr>
                <w:rFonts w:asciiTheme="minorEastAsia" w:hAnsiTheme="minorEastAsia" w:eastAsiaTheme="minorEastAsia" w:cstheme="minorEastAsia"/>
                <w:szCs w:val="21"/>
              </w:rPr>
            </w:pPr>
            <w:r>
              <w:rPr>
                <w:rFonts w:hint="eastAsia" w:ascii="宋体" w:hAnsi="宋体" w:cs="宋体"/>
                <w:szCs w:val="21"/>
              </w:rPr>
              <w:t>2、供应商提供产品检测报告，各参数优于响应文件中产品规格参数，最优得6分，次优得3分，最低得1分，若不符合参数要求，不得分并不列入合格供方。</w:t>
            </w:r>
          </w:p>
        </w:tc>
        <w:tc>
          <w:tcPr>
            <w:tcW w:w="1332" w:type="dxa"/>
            <w:tcBorders>
              <w:left w:val="single" w:color="auto" w:sz="4" w:space="0"/>
            </w:tcBorders>
            <w:vAlign w:val="center"/>
          </w:tcPr>
          <w:p>
            <w:pPr>
              <w:ind w:left="105" w:leftChars="0" w:hanging="105" w:firstLineChars="0"/>
              <w:jc w:val="center"/>
              <w:textAlignment w:val="center"/>
              <w:rPr>
                <w:rFonts w:asciiTheme="minorEastAsia" w:hAnsiTheme="minorEastAsia" w:eastAsiaTheme="minorEastAsia" w:cstheme="minorEastAsia"/>
                <w:szCs w:val="21"/>
              </w:rPr>
            </w:pPr>
            <w:r>
              <w:rPr>
                <w:rFonts w:hint="eastAsia" w:ascii="宋体" w:hAnsi="宋体" w:cs="宋体"/>
                <w:szCs w:val="21"/>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jc w:val="center"/>
        </w:trPr>
        <w:tc>
          <w:tcPr>
            <w:tcW w:w="789" w:type="dxa"/>
            <w:vAlign w:val="center"/>
          </w:tcPr>
          <w:p>
            <w:pPr>
              <w:pStyle w:val="19"/>
              <w:numPr>
                <w:ilvl w:val="0"/>
                <w:numId w:val="9"/>
              </w:numPr>
              <w:ind w:firstLineChars="0"/>
              <w:jc w:val="center"/>
              <w:rPr>
                <w:rFonts w:ascii="宋体" w:hAnsi="宋体"/>
                <w:szCs w:val="21"/>
              </w:rPr>
            </w:pPr>
          </w:p>
        </w:tc>
        <w:tc>
          <w:tcPr>
            <w:tcW w:w="1368" w:type="dxa"/>
            <w:vAlign w:val="center"/>
          </w:tcPr>
          <w:p>
            <w:pPr>
              <w:jc w:val="center"/>
              <w:textAlignment w:val="center"/>
              <w:rPr>
                <w:rFonts w:asciiTheme="majorEastAsia" w:hAnsiTheme="majorEastAsia" w:eastAsiaTheme="majorEastAsia" w:cstheme="majorEastAsia"/>
                <w:bCs/>
                <w:szCs w:val="21"/>
              </w:rPr>
            </w:pPr>
            <w:r>
              <w:rPr>
                <w:rFonts w:hint="eastAsia" w:ascii="宋体" w:hAnsi="宋体" w:cs="宋体"/>
                <w:szCs w:val="21"/>
              </w:rPr>
              <w:t>项目实施方案</w:t>
            </w:r>
          </w:p>
        </w:tc>
        <w:tc>
          <w:tcPr>
            <w:tcW w:w="5946" w:type="dxa"/>
            <w:vAlign w:val="center"/>
          </w:tcPr>
          <w:p>
            <w:pPr>
              <w:rPr>
                <w:rFonts w:ascii="宋体" w:hAnsi="宋体" w:cs="宋体"/>
                <w:szCs w:val="21"/>
              </w:rPr>
            </w:pPr>
            <w:r>
              <w:rPr>
                <w:rFonts w:hint="eastAsia" w:ascii="宋体" w:hAnsi="宋体" w:cs="宋体"/>
                <w:szCs w:val="21"/>
              </w:rPr>
              <w:t>综合对比各供应商提供的实施方案的合理性、可靠性，内容包含但不限于：供货方案、进度安排、验收等。</w:t>
            </w:r>
          </w:p>
          <w:p>
            <w:pPr>
              <w:rPr>
                <w:rFonts w:asciiTheme="minorEastAsia" w:hAnsiTheme="minorEastAsia" w:eastAsiaTheme="minorEastAsia" w:cstheme="minorEastAsia"/>
                <w:szCs w:val="21"/>
              </w:rPr>
            </w:pPr>
            <w:r>
              <w:rPr>
                <w:rFonts w:hint="eastAsia" w:ascii="宋体" w:hAnsi="宋体" w:cs="宋体"/>
                <w:szCs w:val="21"/>
              </w:rPr>
              <w:t>优秀：得10分；良好：得7分；中：得4分；差：得1分；未提供得0分。</w:t>
            </w:r>
          </w:p>
        </w:tc>
        <w:tc>
          <w:tcPr>
            <w:tcW w:w="1332" w:type="dxa"/>
            <w:tcBorders>
              <w:left w:val="single" w:color="auto" w:sz="4" w:space="0"/>
            </w:tcBorders>
            <w:vAlign w:val="center"/>
          </w:tcPr>
          <w:p>
            <w:pPr>
              <w:ind w:left="105" w:leftChars="0" w:hanging="105" w:firstLineChars="0"/>
              <w:jc w:val="center"/>
              <w:textAlignment w:val="center"/>
              <w:rPr>
                <w:rFonts w:asciiTheme="minorEastAsia" w:hAnsiTheme="minorEastAsia" w:eastAsiaTheme="minorEastAsia" w:cstheme="minorEastAsia"/>
                <w:szCs w:val="21"/>
              </w:rPr>
            </w:pPr>
            <w:r>
              <w:rPr>
                <w:rFonts w:hint="eastAsia"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4" w:hRule="atLeast"/>
          <w:jc w:val="center"/>
        </w:trPr>
        <w:tc>
          <w:tcPr>
            <w:tcW w:w="789" w:type="dxa"/>
            <w:vAlign w:val="center"/>
          </w:tcPr>
          <w:p>
            <w:pPr>
              <w:pStyle w:val="19"/>
              <w:numPr>
                <w:ilvl w:val="0"/>
                <w:numId w:val="9"/>
              </w:numPr>
              <w:ind w:firstLineChars="0"/>
              <w:jc w:val="center"/>
              <w:rPr>
                <w:rFonts w:ascii="宋体" w:hAnsi="宋体"/>
                <w:szCs w:val="21"/>
              </w:rPr>
            </w:pPr>
          </w:p>
        </w:tc>
        <w:tc>
          <w:tcPr>
            <w:tcW w:w="1368" w:type="dxa"/>
            <w:vAlign w:val="center"/>
          </w:tcPr>
          <w:p>
            <w:pPr>
              <w:jc w:val="center"/>
              <w:textAlignment w:val="center"/>
              <w:rPr>
                <w:rFonts w:asciiTheme="majorEastAsia" w:hAnsiTheme="majorEastAsia" w:eastAsiaTheme="majorEastAsia" w:cstheme="majorEastAsia"/>
                <w:szCs w:val="21"/>
              </w:rPr>
            </w:pPr>
            <w:r>
              <w:rPr>
                <w:rFonts w:hint="eastAsia" w:ascii="宋体" w:hAnsi="宋体" w:cs="宋体"/>
                <w:szCs w:val="21"/>
              </w:rPr>
              <w:t>配送服务方案</w:t>
            </w:r>
          </w:p>
        </w:tc>
        <w:tc>
          <w:tcPr>
            <w:tcW w:w="5946" w:type="dxa"/>
            <w:vAlign w:val="center"/>
          </w:tcPr>
          <w:p>
            <w:pPr>
              <w:textAlignment w:val="center"/>
              <w:rPr>
                <w:rFonts w:ascii="宋体" w:hAnsi="宋体" w:cs="宋体"/>
                <w:szCs w:val="21"/>
              </w:rPr>
            </w:pPr>
            <w:r>
              <w:rPr>
                <w:rFonts w:hint="eastAsia" w:ascii="宋体" w:hAnsi="宋体" w:cs="宋体"/>
                <w:szCs w:val="21"/>
              </w:rPr>
              <w:t>综合对比各供应商提供的配送服务方案的合理性、可靠性，内容包含但不限于：投入本项目的人员、配送时间、响应速度等。</w:t>
            </w:r>
          </w:p>
          <w:p>
            <w:pPr>
              <w:textAlignment w:val="center"/>
              <w:rPr>
                <w:rFonts w:asciiTheme="minorEastAsia" w:hAnsiTheme="minorEastAsia" w:eastAsiaTheme="minorEastAsia" w:cstheme="minorEastAsia"/>
                <w:szCs w:val="21"/>
              </w:rPr>
            </w:pPr>
            <w:r>
              <w:rPr>
                <w:rFonts w:hint="eastAsia" w:ascii="宋体" w:hAnsi="宋体" w:cs="宋体"/>
                <w:szCs w:val="21"/>
              </w:rPr>
              <w:t>优秀：得10分；良好：得7分；中：得4分；差：得1分；未提供得0分。</w:t>
            </w:r>
          </w:p>
        </w:tc>
        <w:tc>
          <w:tcPr>
            <w:tcW w:w="1332" w:type="dxa"/>
            <w:tcBorders>
              <w:left w:val="single" w:color="auto" w:sz="4" w:space="0"/>
            </w:tcBorders>
            <w:vAlign w:val="center"/>
          </w:tcPr>
          <w:p>
            <w:pPr>
              <w:ind w:left="105" w:leftChars="0" w:hanging="105" w:firstLineChars="0"/>
              <w:jc w:val="center"/>
              <w:textAlignment w:val="center"/>
              <w:rPr>
                <w:rFonts w:asciiTheme="minorEastAsia" w:hAnsiTheme="minorEastAsia" w:eastAsiaTheme="minorEastAsia" w:cstheme="minorEastAsia"/>
                <w:szCs w:val="21"/>
              </w:rPr>
            </w:pPr>
            <w:r>
              <w:rPr>
                <w:rFonts w:hint="eastAsia"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789" w:type="dxa"/>
            <w:tcBorders>
              <w:bottom w:val="single" w:color="auto" w:sz="4" w:space="0"/>
            </w:tcBorders>
            <w:vAlign w:val="center"/>
          </w:tcPr>
          <w:p>
            <w:pPr>
              <w:pStyle w:val="19"/>
              <w:numPr>
                <w:ilvl w:val="0"/>
                <w:numId w:val="9"/>
              </w:numPr>
              <w:ind w:firstLineChars="0"/>
              <w:jc w:val="center"/>
              <w:rPr>
                <w:rFonts w:hint="default" w:ascii="宋体" w:hAnsi="宋体"/>
                <w:szCs w:val="21"/>
                <w:lang w:val="en-US" w:eastAsia="zh-CN"/>
              </w:rPr>
            </w:pPr>
          </w:p>
        </w:tc>
        <w:tc>
          <w:tcPr>
            <w:tcW w:w="136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应急保障方案</w:t>
            </w:r>
          </w:p>
        </w:tc>
        <w:tc>
          <w:tcPr>
            <w:tcW w:w="5946" w:type="dxa"/>
            <w:vAlign w:val="center"/>
          </w:tcPr>
          <w:p>
            <w:pPr>
              <w:rPr>
                <w:rFonts w:ascii="宋体" w:hAnsi="宋体" w:cs="宋体"/>
                <w:szCs w:val="21"/>
              </w:rPr>
            </w:pPr>
            <w:r>
              <w:rPr>
                <w:rFonts w:hint="eastAsia" w:ascii="宋体" w:hAnsi="宋体" w:cs="宋体"/>
                <w:szCs w:val="21"/>
              </w:rPr>
              <w:t>根据各供应商提供的非正常情况或突发情况下的应急保障方案进行综合评价。</w:t>
            </w:r>
          </w:p>
          <w:p>
            <w:pPr>
              <w:rPr>
                <w:rFonts w:asciiTheme="minorEastAsia" w:hAnsiTheme="minorEastAsia" w:eastAsiaTheme="minorEastAsia" w:cstheme="minorEastAsia"/>
                <w:b w:val="0"/>
                <w:bCs/>
                <w:szCs w:val="21"/>
              </w:rPr>
            </w:pPr>
            <w:r>
              <w:rPr>
                <w:rFonts w:hint="eastAsia" w:ascii="宋体" w:hAnsi="宋体" w:cs="宋体"/>
                <w:szCs w:val="21"/>
              </w:rPr>
              <w:t>优秀：得5分；良好：得4分；中：得2分；差：得1分；未提供得0分。</w:t>
            </w:r>
          </w:p>
        </w:tc>
        <w:tc>
          <w:tcPr>
            <w:tcW w:w="1332" w:type="dxa"/>
            <w:tcBorders>
              <w:left w:val="single" w:color="auto" w:sz="4" w:space="0"/>
            </w:tcBorders>
            <w:vAlign w:val="center"/>
          </w:tcPr>
          <w:p>
            <w:pPr>
              <w:ind w:left="105" w:leftChars="0" w:hanging="105" w:firstLineChars="0"/>
              <w:jc w:val="center"/>
              <w:rPr>
                <w:rFonts w:asciiTheme="minorEastAsia" w:hAnsiTheme="minorEastAsia" w:eastAsiaTheme="minorEastAsia" w:cstheme="minorEastAsia"/>
                <w:szCs w:val="21"/>
              </w:rPr>
            </w:pPr>
            <w:r>
              <w:rPr>
                <w:rFonts w:hint="eastAsia" w:ascii="宋体" w:hAnsi="宋体" w:cs="宋体"/>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789" w:type="dxa"/>
            <w:tcBorders>
              <w:top w:val="single" w:color="auto" w:sz="4" w:space="0"/>
              <w:bottom w:val="single" w:color="auto" w:sz="4" w:space="0"/>
            </w:tcBorders>
            <w:vAlign w:val="center"/>
          </w:tcPr>
          <w:p>
            <w:pPr>
              <w:pStyle w:val="19"/>
              <w:numPr>
                <w:ilvl w:val="0"/>
                <w:numId w:val="9"/>
              </w:numPr>
              <w:ind w:firstLineChars="0"/>
              <w:jc w:val="center"/>
              <w:rPr>
                <w:rFonts w:hint="default" w:ascii="宋体" w:hAnsi="宋体"/>
                <w:szCs w:val="21"/>
                <w:lang w:val="en-US" w:eastAsia="zh-CN"/>
              </w:rPr>
            </w:pPr>
          </w:p>
        </w:tc>
        <w:tc>
          <w:tcPr>
            <w:tcW w:w="1368" w:type="dxa"/>
            <w:vAlign w:val="center"/>
          </w:tcPr>
          <w:p>
            <w:pPr>
              <w:jc w:val="center"/>
              <w:rPr>
                <w:rFonts w:asciiTheme="minorEastAsia" w:hAnsiTheme="minorEastAsia" w:eastAsiaTheme="minorEastAsia" w:cstheme="minorEastAsia"/>
                <w:szCs w:val="21"/>
              </w:rPr>
            </w:pPr>
            <w:r>
              <w:rPr>
                <w:rFonts w:hint="eastAsia" w:ascii="宋体" w:hAnsi="宋体" w:cs="宋体"/>
                <w:szCs w:val="21"/>
              </w:rPr>
              <w:t>用户需求书响应程度</w:t>
            </w:r>
          </w:p>
        </w:tc>
        <w:tc>
          <w:tcPr>
            <w:tcW w:w="5946" w:type="dxa"/>
            <w:vAlign w:val="center"/>
          </w:tcPr>
          <w:p>
            <w:pPr>
              <w:rPr>
                <w:rFonts w:ascii="宋体" w:hAnsi="宋体" w:cs="宋体"/>
                <w:szCs w:val="21"/>
              </w:rPr>
            </w:pPr>
            <w:r>
              <w:rPr>
                <w:rFonts w:hint="eastAsia" w:ascii="宋体" w:hAnsi="宋体" w:cs="宋体"/>
                <w:szCs w:val="21"/>
              </w:rPr>
              <w:t>根据响应文件对用户需求书（即非“</w:t>
            </w:r>
            <w:r>
              <w:rPr>
                <w:rFonts w:hint="eastAsia" w:cs="宋体" w:asciiTheme="minorEastAsia" w:hAnsiTheme="minorEastAsia"/>
                <w:szCs w:val="21"/>
              </w:rPr>
              <w:t>★</w:t>
            </w:r>
            <w:r>
              <w:rPr>
                <w:rFonts w:hint="eastAsia" w:ascii="宋体" w:hAnsi="宋体" w:cs="宋体"/>
                <w:szCs w:val="21"/>
              </w:rPr>
              <w:t>”号条款）的响应程度进行评审，完全满足得25分。其中，带“</w:t>
            </w:r>
            <w:r>
              <w:rPr>
                <w:rFonts w:hint="eastAsia" w:cs="宋体" w:asciiTheme="minorEastAsia" w:hAnsiTheme="minorEastAsia"/>
                <w:szCs w:val="21"/>
              </w:rPr>
              <w:t>▲</w:t>
            </w:r>
            <w:r>
              <w:rPr>
                <w:rFonts w:hint="eastAsia" w:ascii="宋体" w:hAnsi="宋体" w:cs="宋体"/>
                <w:szCs w:val="21"/>
              </w:rPr>
              <w:t>”号参数为重要指标，一项不满足（负偏离）扣3分；非“</w:t>
            </w:r>
            <w:r>
              <w:rPr>
                <w:rFonts w:hint="eastAsia" w:cs="宋体" w:asciiTheme="minorEastAsia" w:hAnsiTheme="minorEastAsia"/>
                <w:szCs w:val="21"/>
              </w:rPr>
              <w:t>▲</w:t>
            </w:r>
            <w:r>
              <w:rPr>
                <w:rFonts w:hint="eastAsia" w:ascii="宋体" w:hAnsi="宋体" w:cs="宋体"/>
                <w:szCs w:val="21"/>
              </w:rPr>
              <w:t>”号参数（带</w:t>
            </w:r>
            <w:r>
              <w:rPr>
                <w:rFonts w:ascii="宋体" w:hAnsi="宋体" w:cs="宋体"/>
                <w:szCs w:val="21"/>
              </w:rPr>
              <w:t>“</w:t>
            </w:r>
            <w:r>
              <w:rPr>
                <w:rFonts w:cs="宋体" w:asciiTheme="minorEastAsia" w:hAnsiTheme="minorEastAsia"/>
                <w:szCs w:val="21"/>
              </w:rPr>
              <w:t>★号</w:t>
            </w:r>
            <w:r>
              <w:rPr>
                <w:rFonts w:ascii="宋体" w:hAnsi="宋体" w:cs="宋体"/>
                <w:szCs w:val="21"/>
              </w:rPr>
              <w:t>”项除外</w:t>
            </w:r>
            <w:r>
              <w:rPr>
                <w:rFonts w:hint="eastAsia" w:ascii="宋体" w:hAnsi="宋体" w:cs="宋体"/>
                <w:szCs w:val="21"/>
              </w:rPr>
              <w:t>）为一般性指标，一项不满足（负偏离）扣2分，扣完为止。</w:t>
            </w:r>
          </w:p>
          <w:p>
            <w:pPr>
              <w:rPr>
                <w:rFonts w:asciiTheme="minorEastAsia" w:hAnsiTheme="minorEastAsia" w:eastAsiaTheme="minorEastAsia" w:cstheme="minorEastAsia"/>
                <w:b w:val="0"/>
                <w:bCs/>
                <w:szCs w:val="21"/>
              </w:rPr>
            </w:pPr>
            <w:r>
              <w:rPr>
                <w:rFonts w:hint="eastAsia" w:ascii="宋体" w:hAnsi="宋体" w:cs="宋体"/>
                <w:b/>
                <w:szCs w:val="21"/>
              </w:rPr>
              <w:t>注：以“技术条款响应表”及应招标要求提供的相关证明材料作为评审依据。</w:t>
            </w:r>
          </w:p>
        </w:tc>
        <w:tc>
          <w:tcPr>
            <w:tcW w:w="1332" w:type="dxa"/>
            <w:tcBorders>
              <w:left w:val="single" w:color="auto" w:sz="4" w:space="0"/>
            </w:tcBorders>
            <w:vAlign w:val="center"/>
          </w:tcPr>
          <w:p>
            <w:pPr>
              <w:ind w:left="105" w:leftChars="0" w:hanging="105" w:firstLineChars="0"/>
              <w:jc w:val="center"/>
              <w:rPr>
                <w:rFonts w:asciiTheme="minorEastAsia" w:hAnsiTheme="minorEastAsia" w:eastAsiaTheme="minorEastAsia" w:cstheme="minorEastAsia"/>
                <w:szCs w:val="21"/>
              </w:rPr>
            </w:pPr>
            <w:r>
              <w:rPr>
                <w:rFonts w:hint="eastAsia" w:ascii="宋体" w:hAnsi="宋体" w:cs="宋体"/>
                <w:szCs w:val="21"/>
              </w:rPr>
              <w:t>25</w:t>
            </w:r>
          </w:p>
        </w:tc>
      </w:tr>
    </w:tbl>
    <w:p>
      <w:pPr>
        <w:rPr>
          <w:b w:val="0"/>
          <w:bCs/>
        </w:rPr>
      </w:pPr>
    </w:p>
    <w:p/>
    <w:p>
      <w:pPr>
        <w:rPr>
          <w:rFonts w:hint="eastAsia"/>
        </w:rPr>
      </w:pPr>
    </w:p>
    <w:p>
      <w:r>
        <w:rPr>
          <w:rFonts w:hint="eastAsia"/>
        </w:rPr>
        <w:t>价格评审：</w:t>
      </w:r>
    </w:p>
    <w:tbl>
      <w:tblPr>
        <w:tblStyle w:val="14"/>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9"/>
        <w:gridCol w:w="1365"/>
        <w:gridCol w:w="935"/>
        <w:gridCol w:w="6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2" w:hRule="atLeast"/>
          <w:jc w:val="center"/>
        </w:trPr>
        <w:tc>
          <w:tcPr>
            <w:tcW w:w="769" w:type="dxa"/>
            <w:shd w:val="clear" w:color="auto" w:fill="D7D7D7"/>
            <w:vAlign w:val="center"/>
          </w:tcPr>
          <w:p>
            <w:pPr>
              <w:jc w:val="center"/>
              <w:rPr>
                <w:rFonts w:ascii="宋体" w:hAnsi="宋体" w:cs="宋体"/>
                <w:b/>
                <w:szCs w:val="21"/>
              </w:rPr>
            </w:pPr>
            <w:r>
              <w:rPr>
                <w:rFonts w:hint="eastAsia" w:ascii="宋体" w:hAnsi="宋体" w:cs="宋体"/>
                <w:b/>
                <w:szCs w:val="21"/>
              </w:rPr>
              <w:t>序号</w:t>
            </w:r>
          </w:p>
        </w:tc>
        <w:tc>
          <w:tcPr>
            <w:tcW w:w="1365" w:type="dxa"/>
            <w:shd w:val="clear" w:color="auto" w:fill="D7D7D7"/>
            <w:vAlign w:val="center"/>
          </w:tcPr>
          <w:p>
            <w:pPr>
              <w:jc w:val="center"/>
              <w:rPr>
                <w:rFonts w:ascii="宋体" w:hAnsi="宋体" w:cs="宋体"/>
                <w:b/>
                <w:szCs w:val="21"/>
              </w:rPr>
            </w:pPr>
            <w:r>
              <w:rPr>
                <w:rFonts w:hint="eastAsia" w:ascii="宋体" w:hAnsi="宋体" w:cs="宋体"/>
                <w:b/>
                <w:szCs w:val="21"/>
              </w:rPr>
              <w:t>评分项目</w:t>
            </w:r>
          </w:p>
        </w:tc>
        <w:tc>
          <w:tcPr>
            <w:tcW w:w="935" w:type="dxa"/>
            <w:shd w:val="clear" w:color="auto" w:fill="D7D7D7"/>
            <w:vAlign w:val="center"/>
          </w:tcPr>
          <w:p>
            <w:pPr>
              <w:jc w:val="center"/>
              <w:rPr>
                <w:rFonts w:ascii="宋体" w:hAnsi="宋体" w:cs="宋体"/>
                <w:b/>
                <w:szCs w:val="21"/>
              </w:rPr>
            </w:pPr>
            <w:r>
              <w:rPr>
                <w:rFonts w:hint="eastAsia" w:ascii="宋体" w:hAnsi="宋体" w:cs="宋体"/>
                <w:b/>
                <w:szCs w:val="21"/>
              </w:rPr>
              <w:t>分值</w:t>
            </w:r>
          </w:p>
        </w:tc>
        <w:tc>
          <w:tcPr>
            <w:tcW w:w="6312" w:type="dxa"/>
            <w:shd w:val="clear" w:color="auto" w:fill="D7D7D7"/>
            <w:vAlign w:val="center"/>
          </w:tcPr>
          <w:p>
            <w:pPr>
              <w:jc w:val="center"/>
              <w:rPr>
                <w:rFonts w:ascii="宋体" w:hAnsi="宋体" w:cs="宋体"/>
                <w:b/>
                <w:szCs w:val="21"/>
              </w:rPr>
            </w:pPr>
            <w:r>
              <w:rPr>
                <w:rFonts w:hint="eastAsia" w:ascii="宋体" w:hAnsi="宋体" w:cs="宋体"/>
                <w:b/>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19" w:hRule="atLeast"/>
          <w:jc w:val="center"/>
        </w:trPr>
        <w:tc>
          <w:tcPr>
            <w:tcW w:w="769" w:type="dxa"/>
            <w:vAlign w:val="center"/>
          </w:tcPr>
          <w:p>
            <w:pPr>
              <w:ind w:left="105" w:hanging="105"/>
              <w:jc w:val="center"/>
              <w:rPr>
                <w:rFonts w:ascii="宋体" w:hAnsi="宋体" w:cs="宋体"/>
                <w:szCs w:val="21"/>
              </w:rPr>
            </w:pPr>
            <w:r>
              <w:rPr>
                <w:rFonts w:hint="eastAsia" w:ascii="宋体" w:hAnsi="宋体" w:cs="宋体"/>
                <w:szCs w:val="21"/>
              </w:rPr>
              <w:t>1</w:t>
            </w:r>
          </w:p>
        </w:tc>
        <w:tc>
          <w:tcPr>
            <w:tcW w:w="1365" w:type="dxa"/>
            <w:vAlign w:val="center"/>
          </w:tcPr>
          <w:p>
            <w:pPr>
              <w:jc w:val="center"/>
              <w:rPr>
                <w:rFonts w:ascii="宋体" w:hAnsi="宋体" w:cs="宋体"/>
                <w:szCs w:val="21"/>
              </w:rPr>
            </w:pPr>
            <w:r>
              <w:rPr>
                <w:rFonts w:hint="eastAsia" w:ascii="宋体" w:hAnsi="宋体" w:cs="宋体"/>
                <w:szCs w:val="21"/>
              </w:rPr>
              <w:t>报价要求</w:t>
            </w:r>
          </w:p>
        </w:tc>
        <w:tc>
          <w:tcPr>
            <w:tcW w:w="935" w:type="dxa"/>
            <w:vAlign w:val="center"/>
          </w:tcPr>
          <w:p>
            <w:pPr>
              <w:ind w:left="105" w:hanging="105"/>
              <w:jc w:val="center"/>
              <w:rPr>
                <w:rFonts w:ascii="宋体" w:hAnsi="宋体" w:cs="宋体"/>
                <w:szCs w:val="21"/>
              </w:rPr>
            </w:pPr>
            <w:r>
              <w:rPr>
                <w:rFonts w:ascii="宋体" w:hAnsi="宋体" w:cs="宋体"/>
                <w:szCs w:val="21"/>
              </w:rPr>
              <w:t>3</w:t>
            </w:r>
            <w:r>
              <w:rPr>
                <w:rFonts w:hint="eastAsia" w:ascii="宋体" w:hAnsi="宋体" w:cs="宋体"/>
                <w:szCs w:val="21"/>
              </w:rPr>
              <w:t>0</w:t>
            </w:r>
          </w:p>
        </w:tc>
        <w:tc>
          <w:tcPr>
            <w:tcW w:w="6312" w:type="dxa"/>
          </w:tcPr>
          <w:p>
            <w:pPr>
              <w:widowControl/>
              <w:rPr>
                <w:rFonts w:ascii="宋体" w:hAnsi="宋体" w:cs="宋体"/>
                <w:b/>
                <w:szCs w:val="21"/>
              </w:rPr>
            </w:pPr>
            <w:r>
              <w:rPr>
                <w:rFonts w:hint="eastAsia" w:ascii="宋体" w:hAnsi="宋体"/>
                <w:szCs w:val="21"/>
              </w:rPr>
              <w:t>磋商报价得分（精确到小数点后2位）</w:t>
            </w:r>
            <w:r>
              <w:rPr>
                <w:rFonts w:ascii="宋体" w:hAnsi="宋体"/>
                <w:szCs w:val="21"/>
              </w:rPr>
              <w:t>=(</w:t>
            </w:r>
            <w:r>
              <w:rPr>
                <w:rFonts w:hint="eastAsia" w:ascii="宋体" w:hAnsi="宋体"/>
                <w:szCs w:val="21"/>
              </w:rPr>
              <w:t>磋商基准价／最后磋商报价</w:t>
            </w:r>
            <w:r>
              <w:rPr>
                <w:rFonts w:ascii="宋体" w:hAnsi="宋体"/>
                <w:szCs w:val="21"/>
              </w:rPr>
              <w:t>)</w:t>
            </w:r>
            <w:r>
              <w:rPr>
                <w:rFonts w:hint="eastAsia" w:ascii="宋体" w:hAnsi="宋体"/>
                <w:szCs w:val="21"/>
              </w:rPr>
              <w:t>×</w:t>
            </w:r>
            <w:r>
              <w:rPr>
                <w:rFonts w:ascii="宋体" w:hAnsi="宋体"/>
                <w:szCs w:val="21"/>
              </w:rPr>
              <w:t>3</w:t>
            </w:r>
            <w:r>
              <w:rPr>
                <w:rFonts w:hint="eastAsia" w:ascii="宋体" w:hAnsi="宋体"/>
                <w:szCs w:val="21"/>
              </w:rPr>
              <w:t>0</w:t>
            </w:r>
            <w:r>
              <w:rPr>
                <w:rFonts w:hint="eastAsia" w:ascii="宋体" w:hAnsi="宋体"/>
                <w:b/>
                <w:szCs w:val="21"/>
              </w:rPr>
              <w:t>【注：满足招标文件要求且XXXX为报价下浮率最高（相当于投标的价格最低）的为评标基准价。如：投标报价XXXX 8%为下浮率最高，评标基准价为1-8%=92%，磋商报价得分=（1-8%）/（1-8%）×</w:t>
            </w:r>
            <w:r>
              <w:rPr>
                <w:rFonts w:ascii="宋体" w:hAnsi="宋体"/>
                <w:b/>
                <w:szCs w:val="21"/>
              </w:rPr>
              <w:t>3</w:t>
            </w:r>
            <w:r>
              <w:rPr>
                <w:rFonts w:hint="eastAsia" w:ascii="宋体" w:hAnsi="宋体"/>
                <w:b/>
                <w:szCs w:val="21"/>
              </w:rPr>
              <w:t>0=</w:t>
            </w:r>
            <w:r>
              <w:rPr>
                <w:rFonts w:ascii="宋体" w:hAnsi="宋体"/>
                <w:b/>
                <w:szCs w:val="21"/>
              </w:rPr>
              <w:t>3</w:t>
            </w:r>
            <w:r>
              <w:rPr>
                <w:rFonts w:hint="eastAsia" w:ascii="宋体" w:hAnsi="宋体"/>
                <w:b/>
                <w:szCs w:val="21"/>
              </w:rPr>
              <w:t>0，得满分</w:t>
            </w:r>
            <w:r>
              <w:rPr>
                <w:rFonts w:ascii="宋体" w:hAnsi="宋体"/>
                <w:b/>
                <w:szCs w:val="21"/>
              </w:rPr>
              <w:t>3</w:t>
            </w:r>
            <w:r>
              <w:rPr>
                <w:rFonts w:hint="eastAsia" w:ascii="宋体" w:hAnsi="宋体"/>
                <w:b/>
                <w:szCs w:val="21"/>
              </w:rPr>
              <w:t>0分；有投标报价下浮率为5%，磋商报价得分=（1-8%）/（1-5%）×</w:t>
            </w:r>
            <w:r>
              <w:rPr>
                <w:rFonts w:ascii="宋体" w:hAnsi="宋体"/>
                <w:b/>
                <w:szCs w:val="21"/>
              </w:rPr>
              <w:t>3</w:t>
            </w:r>
            <w:r>
              <w:rPr>
                <w:rFonts w:hint="eastAsia" w:ascii="宋体" w:hAnsi="宋体"/>
                <w:b/>
                <w:szCs w:val="21"/>
              </w:rPr>
              <w:t>0=</w:t>
            </w:r>
            <w:r>
              <w:rPr>
                <w:rFonts w:ascii="宋体" w:hAnsi="宋体"/>
                <w:b/>
                <w:szCs w:val="21"/>
              </w:rPr>
              <w:t>29.05</w:t>
            </w:r>
            <w:r>
              <w:rPr>
                <w:rFonts w:hint="eastAsia" w:ascii="宋体" w:hAnsi="宋体"/>
                <w:b/>
                <w:szCs w:val="21"/>
              </w:rPr>
              <w:t>；以此类推】</w:t>
            </w:r>
          </w:p>
        </w:tc>
      </w:tr>
    </w:tbl>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rPr>
      </w:pPr>
      <w:bookmarkStart w:id="6" w:name="_GoBack"/>
      <w:bookmarkEnd w:id="6"/>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pStyle w:val="4"/>
        <w:numPr>
          <w:ilvl w:val="0"/>
          <w:numId w:val="8"/>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rPr>
          <w:rFonts w:hint="eastAsia"/>
          <w:lang w:val="en-US" w:eastAsia="zh-CN"/>
        </w:rPr>
      </w:pPr>
    </w:p>
    <w:p>
      <w:pPr>
        <w:pStyle w:val="2"/>
        <w:rPr>
          <w:rFonts w:hint="eastAsia"/>
          <w:lang w:val="en-US" w:eastAsia="zh-CN"/>
        </w:rPr>
      </w:pPr>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关键</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701"/>
        <w:gridCol w:w="160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570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60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36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供货期限：1年。如采购人对中标人所提供的货物不满意（在使用过程中发现以次充好或使用假冒伪劣产品2次以上的或超过规定交货期限30天成交供应商仍不能交货的），采购人有权单方终止合同重新组织招标。</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lang w:val="en-US" w:eastAsia="zh-CN"/>
              </w:rPr>
            </w:pPr>
            <w:r>
              <w:rPr>
                <w:rFonts w:hint="eastAsia"/>
                <w:lang w:val="en-US" w:eastAsia="zh-CN"/>
              </w:rPr>
              <w:t>2</w:t>
            </w: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成交供应商所供产品须符合卫生标准，商标清晰、规范，有外包装。凡因产品质量问题或服务质量出现用户投诉的，成交供应商应在1小时内到达现场处理，尽一切办法将损害降到最低，并承担因成交供应商原因所导致的责任。因成交供应商责任被投诉，经查证后属实的扣罚500元/次，供货期内所有货物在使用过程中发现以次充好或使用假冒伪劣产品的，成交供应商须无条件更换货物。此种情况超过2次或以上的，履约保证金不予以退还，采购人有权单方终止合同。</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成交供应商与采购人签订合同后5个工作日内需向采购人（甲方）交合同总金额的5%作为履约保证金。履约保证金的退还为最后一批送货验收合格后一个月内一次性退还。如有违约事项，采购人根据约定条款扣款，剩余款项予以无息退还。</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pStyle w:val="3"/>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pStyle w:val="3"/>
        <w:rPr>
          <w:rFonts w:hint="eastAsia"/>
        </w:rPr>
      </w:pPr>
    </w:p>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重点</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701"/>
        <w:gridCol w:w="160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570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60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36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供货商应以诚信为本，严禁制造、销售假盐。服务期内，如出现非正品情况或质量等问题，对采购人造成人身安全、财产损失及责任事故的，采购人有权单方面解除合同，向成交供应商扣罚合同总金额5(%)的违约金，并向供货商追求由此造成的一切损失及责任。</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在协议供货期内，成交供应商应保证充足的货源，如产品遇到停产情况的，成交供应商需提前15天书面告知采购人并经采购人同意后，提供等同于或优于原参数的产品供采购人使用，不得断供。</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供应商所供应的货物须与响应报价文件中的品牌、规格、产地、厂家相符，并符合国家或行业标准。若不相符的，采购人有权拒收，损失由成交供应商自行负责并承担违约责任。</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质保期：当次所送货物质保期为验收合格之日起壹年，质保期内成交供应商须提供“包退、包换、包修”的质量“三包”服务。货物若不符合符合国家或行业标准、磋商文件参数要求的，采购人有权拒收，成交供应商应无条件退换货，退换期限为2个工作日，由此产生的一切费用由成交供应商承担。</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质保期内，成交供应商应提供24小时响应服务，到达现场时间为2小时，解决问题时间为到达现场后4小时内，若到场后4小时内仍未能有效解决，成交供应商须免费提供等同或优质于原参数的产品供采购人使用，否则采购人有权另行自行采购，所产生的费用由成交供应商承担，如因此造成采购人损失，成交供应商承担赔偿责任。</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701"/>
        <w:gridCol w:w="160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570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60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36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供应商具有独立承担民事责任能力的在中华人民共和国境内注册的法人或其他组织营业执照，经营范围含项目相关内容。</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本项目数量为预估数量，实际总量不得超过，若实际数量低于这个总量，则按实结算。</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在收到采购人下单通知后3个工作日内把指定货物交付到中山市小榄人民医院。在紧急用盐的情况下，应保证2小时内将盐送到采购人指定地点。</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成交供应商不得以任何方式转包或分包本项目，否则视为成交供应商毁约。</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采购人无法预计也无法保证向成交供应商采购的品种及数量,采购人按照本单位使用情况下单所需物品数量，成交供应商不得对采购人所采购物品数量作要求或质疑。</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成交供应商对采购清单的货物单价报出统一的投标下浮率，下浮率在0%（含本数）-100%（含本数）范围内取值，若报价超出此范围则投标无效，合同期内，中标单价不再调整。</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本次响应报价应为人民币含税全包价，包括价格、包装费、运杂费、保险费、卸车费、安装费、配合费、检测费、税金及响应供应商认为需要的其他费用等。</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供应商单价报价中漏项、少报在费用，视为此项费用已隐含在投标报价中，成交供应商不得再向采购人收取任何费用。</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供应商提供的产品是未启封全新包装正品，其质量、规格满足用户需求，各项技术指标完全符合国家行业生产标准、国家有关质量检测标准及产品出厂标准。</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成交供应商将货物送货至采购人指定地点后，由采购人按照采购合同及相关报价文件进行核对，根据国家相关法律法规，对货物的技术规格要求和质量标准进行检查验收。</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货物不符合采购人要求或表面瑕疵的，采购人可在验收时当面提出。在验收过程中发现数量不足或有质量不符合要求等问题，成交供应商应负责按照采购人的要求采取补足、更换或退货等处理措施，并承担由此发生的一切费用和损失。</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所有货物在使用过程中发现以次充好或使用假冒伪劣产品的，成交供应商应无条件更换货物，且采购人按成交货物价格×更换货物数量之总值的5倍金额向成交供应商扣罚违约金。此种情况超过3次或以上的，履约保证金不予以退还，采购人有权单方终止合同。</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合同签订后，供货期内采购人可按照实际使用需要分批次要求成交供应商供货。合同无预付款，每批次订货无预付款。</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按批次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570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CN" w:bidi="ar-SA"/>
              </w:rPr>
              <w:t>成交供应商须开具与响应文件中报价人名称、响应报价一致的普通发票。</w:t>
            </w:r>
          </w:p>
        </w:tc>
        <w:tc>
          <w:tcPr>
            <w:tcW w:w="160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365"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pStyle w:val="3"/>
        <w:rPr>
          <w:rFonts w:hint="eastAsia" w:ascii="宋体" w:hAnsi="宋体" w:eastAsia="宋体" w:cs="宋体"/>
          <w:b/>
          <w:color w:val="000000" w:themeColor="text1"/>
          <w:sz w:val="24"/>
          <w:highlight w:val="none"/>
          <w14:textFill>
            <w14:solidFill>
              <w14:schemeClr w14:val="tx1"/>
            </w14:solidFill>
          </w14:textFill>
        </w:rPr>
      </w:pPr>
    </w:p>
    <w:p>
      <w:pPr>
        <w:rPr>
          <w:rFonts w:hint="eastAsia"/>
        </w:rPr>
      </w:pPr>
    </w:p>
    <w:p>
      <w:pPr>
        <w:pStyle w:val="2"/>
        <w:rPr>
          <w:rFonts w:hint="eastAsia" w:ascii="仿宋" w:hAnsi="仿宋" w:eastAsia="仿宋" w:cs="仿宋"/>
          <w:color w:val="auto"/>
          <w:sz w:val="24"/>
        </w:rPr>
      </w:pPr>
      <w:r>
        <w:rPr>
          <w:rFonts w:hint="eastAsia" w:ascii="仿宋" w:hAnsi="仿宋" w:eastAsia="仿宋" w:cs="仿宋"/>
          <w:color w:val="auto"/>
          <w:sz w:val="24"/>
        </w:rPr>
        <w:t>招标文件中关键条款，投标供应商必须对此作出回答并完全满足这些要求不可以出现任何负偏离，对这些关键条款的任何负偏离将视为无效投标。</w:t>
      </w:r>
      <w:r>
        <w:rPr>
          <w:rFonts w:hint="eastAsia" w:ascii="仿宋" w:hAnsi="仿宋" w:eastAsia="仿宋" w:cs="仿宋"/>
          <w:color w:val="auto"/>
          <w:sz w:val="24"/>
          <w:lang w:val="en-US" w:eastAsia="zh-CN"/>
        </w:rPr>
        <w:t>重点条款</w:t>
      </w:r>
      <w:r>
        <w:rPr>
          <w:rFonts w:hint="eastAsia" w:ascii="仿宋" w:hAnsi="仿宋" w:eastAsia="仿宋" w:cs="仿宋"/>
          <w:color w:val="auto"/>
          <w:sz w:val="24"/>
        </w:rPr>
        <w:t>为重点评标项目，投标供应商必须对该标识项目按照要求进行真实应答描述。</w:t>
      </w: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pStyle w:val="3"/>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pStyle w:val="3"/>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pStyle w:val="3"/>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pStyle w:val="3"/>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p>
      <w:pPr>
        <w:pStyle w:val="2"/>
        <w:rPr>
          <w:rFonts w:hint="eastAsia"/>
          <w:color w:val="auto"/>
          <w:lang w:val="en-US" w:eastAsia="zh-CN"/>
        </w:rPr>
      </w:pPr>
    </w:p>
    <w:tbl>
      <w:tblPr>
        <w:tblStyle w:val="14"/>
        <w:tblpPr w:leftFromText="180" w:rightFromText="180" w:vertAnchor="text" w:horzAnchor="page" w:tblpX="1326" w:tblpY="205"/>
        <w:tblOverlap w:val="never"/>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433"/>
        <w:gridCol w:w="1559"/>
        <w:gridCol w:w="1334"/>
        <w:gridCol w:w="10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7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5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73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569" w:type="pct"/>
            <w:vAlign w:val="center"/>
          </w:tcPr>
          <w:p>
            <w:pPr>
              <w:spacing w:line="560" w:lineRule="exact"/>
              <w:jc w:val="center"/>
              <w:rPr>
                <w:rFonts w:hint="eastAsia" w:ascii="宋体" w:hAnsi="宋体" w:eastAsia="宋体" w:cs="宋体"/>
                <w:b/>
                <w:bCs/>
                <w:color w:val="auto"/>
                <w:sz w:val="26"/>
                <w:szCs w:val="26"/>
                <w:lang w:eastAsia="zh-CN"/>
              </w:rPr>
            </w:pPr>
            <w:r>
              <w:rPr>
                <w:rFonts w:hint="eastAsia" w:ascii="宋体" w:hAnsi="宋体" w:cs="宋体"/>
                <w:b/>
                <w:bCs/>
                <w:color w:val="auto"/>
                <w:sz w:val="26"/>
                <w:szCs w:val="26"/>
                <w:lang w:val="en-US" w:eastAsia="zh-CN"/>
              </w:rPr>
              <w:t>报价</w:t>
            </w:r>
          </w:p>
        </w:tc>
        <w:tc>
          <w:tcPr>
            <w:tcW w:w="725" w:type="pct"/>
            <w:vAlign w:val="center"/>
          </w:tcPr>
          <w:p>
            <w:pPr>
              <w:spacing w:line="560" w:lineRule="exact"/>
              <w:jc w:val="center"/>
              <w:rPr>
                <w:rFonts w:hint="default" w:ascii="宋体" w:hAnsi="宋体" w:cs="宋体"/>
                <w:b/>
                <w:bCs/>
                <w:color w:val="auto"/>
                <w:sz w:val="26"/>
                <w:szCs w:val="26"/>
                <w:lang w:val="en-US" w:eastAsia="zh-CN"/>
              </w:rPr>
            </w:pPr>
            <w:r>
              <w:rPr>
                <w:rFonts w:hint="eastAsia" w:ascii="宋体" w:hAnsi="宋体" w:cs="宋体"/>
                <w:b/>
                <w:bCs/>
                <w:color w:val="auto"/>
                <w:sz w:val="26"/>
                <w:szCs w:val="26"/>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0"/>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0"/>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0"/>
        </w:numPr>
        <w:ind w:left="425" w:leftChars="0" w:hanging="425" w:firstLineChars="0"/>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D564C85F"/>
    <w:multiLevelType w:val="multilevel"/>
    <w:tmpl w:val="D564C85F"/>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3">
    <w:nsid w:val="0C69D465"/>
    <w:multiLevelType w:val="singleLevel"/>
    <w:tmpl w:val="0C69D465"/>
    <w:lvl w:ilvl="0" w:tentative="0">
      <w:start w:val="1"/>
      <w:numFmt w:val="decimal"/>
      <w:lvlText w:val="(%1)"/>
      <w:lvlJc w:val="left"/>
      <w:pPr>
        <w:ind w:left="425" w:hanging="425"/>
      </w:pPr>
      <w:rPr>
        <w:rFonts w:hint="default"/>
      </w:rPr>
    </w:lvl>
  </w:abstractNum>
  <w:abstractNum w:abstractNumId="4">
    <w:nsid w:val="13CD5DE1"/>
    <w:multiLevelType w:val="multilevel"/>
    <w:tmpl w:val="13CD5DE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6">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7">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8">
    <w:nsid w:val="6C73457C"/>
    <w:multiLevelType w:val="multilevel"/>
    <w:tmpl w:val="6C73457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FEF5E58"/>
    <w:multiLevelType w:val="singleLevel"/>
    <w:tmpl w:val="6FEF5E58"/>
    <w:lvl w:ilvl="0" w:tentative="0">
      <w:start w:val="1"/>
      <w:numFmt w:val="decimal"/>
      <w:lvlText w:val="%1."/>
      <w:lvlJc w:val="left"/>
      <w:pPr>
        <w:ind w:left="425" w:hanging="425"/>
      </w:pPr>
      <w:rPr>
        <w:rFonts w:hint="default"/>
      </w:rPr>
    </w:lvl>
  </w:abstractNum>
  <w:abstractNum w:abstractNumId="10">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2"/>
  </w:num>
  <w:num w:numId="2">
    <w:abstractNumId w:val="6"/>
  </w:num>
  <w:num w:numId="3">
    <w:abstractNumId w:val="7"/>
  </w:num>
  <w:num w:numId="4">
    <w:abstractNumId w:val="3"/>
  </w:num>
  <w:num w:numId="5">
    <w:abstractNumId w:val="10"/>
  </w:num>
  <w:num w:numId="6">
    <w:abstractNumId w:val="4"/>
  </w:num>
  <w:num w:numId="7">
    <w:abstractNumId w:val="1"/>
  </w:num>
  <w:num w:numId="8">
    <w:abstractNumId w:val="0"/>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5C64FE7"/>
    <w:rsid w:val="181F74CC"/>
    <w:rsid w:val="29244CA4"/>
    <w:rsid w:val="2CA57755"/>
    <w:rsid w:val="30EF160C"/>
    <w:rsid w:val="37547E2F"/>
    <w:rsid w:val="3AD0127C"/>
    <w:rsid w:val="41FA65F1"/>
    <w:rsid w:val="494E14D4"/>
    <w:rsid w:val="51F97986"/>
    <w:rsid w:val="56866FF4"/>
    <w:rsid w:val="5CED35B2"/>
    <w:rsid w:val="5D1D22C5"/>
    <w:rsid w:val="681E1FD1"/>
    <w:rsid w:val="7AC3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2">
    <w:name w:val="列出段落2"/>
    <w:basedOn w:val="1"/>
    <w:qFormat/>
    <w:uiPriority w:val="0"/>
    <w:pPr>
      <w:ind w:firstLine="420" w:firstLineChars="200"/>
    </w:pPr>
  </w:style>
  <w:style w:type="paragraph" w:customStyle="1" w:styleId="23">
    <w:name w:val="标题1"/>
    <w:basedOn w:val="1"/>
    <w:qFormat/>
    <w:uiPriority w:val="0"/>
    <w:pPr>
      <w:spacing w:line="360" w:lineRule="auto"/>
      <w:jc w:val="center"/>
    </w:pPr>
    <w:rPr>
      <w:rFonts w:ascii="黑体" w:eastAsia="黑体"/>
      <w:b/>
      <w:sz w:val="44"/>
    </w:rPr>
  </w:style>
  <w:style w:type="paragraph" w:customStyle="1" w:styleId="24">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5">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7768</Words>
  <Characters>8199</Characters>
  <Lines>0</Lines>
  <Paragraphs>0</Paragraphs>
  <TotalTime>9</TotalTime>
  <ScaleCrop>false</ScaleCrop>
  <LinksUpToDate>false</LinksUpToDate>
  <CharactersWithSpaces>8650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2023-03-15T09:45:45Z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458626D67B3B47FBBC1232D4543C5235</vt:lpwstr>
  </property>
</Properties>
</file>