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olor w:val="000000" w:themeColor="text1"/>
          <w:szCs w:val="21"/>
          <w14:textFill>
            <w14:solidFill>
              <w14:schemeClr w14:val="tx1"/>
            </w14:solidFill>
          </w14:textFill>
        </w:rPr>
      </w:pPr>
      <w:r>
        <w:rPr>
          <w:rFonts w:hint="eastAsia" w:ascii="宋体" w:hAnsi="宋体"/>
          <w:b/>
          <w:szCs w:val="21"/>
        </w:rPr>
        <w:t>一、响应供应商资格条件</w:t>
      </w:r>
    </w:p>
    <w:p>
      <w:pPr>
        <w:adjustRightInd w:val="0"/>
        <w:snapToGrid w:val="0"/>
        <w:spacing w:line="360" w:lineRule="auto"/>
        <w:ind w:firstLine="420" w:firstLineChars="200"/>
        <w:rPr>
          <w:rFonts w:hint="default" w:ascii="宋体" w:hAnsi="宋体" w:eastAsiaTheme="minorEastAsia"/>
          <w:szCs w:val="21"/>
          <w:highlight w:val="none"/>
          <w:lang w:val="en-US" w:eastAsia="zh-CN"/>
        </w:rPr>
      </w:pPr>
      <w:r>
        <w:rPr>
          <w:rFonts w:hint="eastAsia" w:ascii="宋体" w:hAnsi="宋体"/>
          <w:szCs w:val="21"/>
        </w:rPr>
        <w:t>1、具有独立承担民事责任的能力</w:t>
      </w:r>
      <w:r>
        <w:rPr>
          <w:rFonts w:hint="eastAsia" w:ascii="宋体" w:hAnsi="宋体"/>
          <w:strike w:val="0"/>
          <w:dstrike w:val="0"/>
          <w:szCs w:val="21"/>
          <w:highlight w:val="none"/>
        </w:rPr>
        <w:t>，其经营范围包含“雷电防护装置检测”</w:t>
      </w:r>
      <w:r>
        <w:rPr>
          <w:rFonts w:hint="eastAsia" w:ascii="宋体" w:hAnsi="宋体"/>
          <w:strike w:val="0"/>
          <w:dstrike w:val="0"/>
          <w:color w:val="auto"/>
          <w:szCs w:val="21"/>
          <w:highlight w:val="none"/>
          <w:lang w:eastAsia="zh-CN"/>
        </w:rPr>
        <w:t>，</w:t>
      </w:r>
      <w:r>
        <w:rPr>
          <w:rFonts w:hint="eastAsia" w:ascii="宋体" w:hAnsi="宋体"/>
          <w:color w:val="auto"/>
          <w:szCs w:val="21"/>
          <w:highlight w:val="none"/>
          <w:lang w:val="en-US" w:eastAsia="zh-CN"/>
        </w:rPr>
        <w:t>具有“雷电防护装置检测”资质证书。</w:t>
      </w:r>
    </w:p>
    <w:p>
      <w:pPr>
        <w:adjustRightInd w:val="0"/>
        <w:snapToGrid w:val="0"/>
        <w:spacing w:line="360" w:lineRule="auto"/>
        <w:ind w:firstLine="420" w:firstLineChars="200"/>
        <w:rPr>
          <w:rFonts w:hint="eastAsia" w:ascii="宋体" w:hAnsi="宋体"/>
          <w:szCs w:val="21"/>
        </w:rPr>
      </w:pPr>
      <w:r>
        <w:rPr>
          <w:rFonts w:hint="eastAsia" w:ascii="宋体" w:hAnsi="宋体"/>
          <w:szCs w:val="21"/>
        </w:rPr>
        <w:t>2、通过“信用中国”网站（www.creditchina.gov.cn）及中国政府采购网（www.ccgp.gov.cn）查询信用记录。</w:t>
      </w:r>
    </w:p>
    <w:p>
      <w:pPr>
        <w:adjustRightInd w:val="0"/>
        <w:snapToGrid w:val="0"/>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eastAsia="zh-CN"/>
        </w:rPr>
        <w:t>、</w:t>
      </w:r>
      <w:r>
        <w:rPr>
          <w:rFonts w:hint="eastAsia" w:ascii="宋体" w:hAnsi="宋体"/>
          <w:szCs w:val="21"/>
        </w:rPr>
        <w:t>近一年度内为中山市小榄人民医院提供雷电防护装置检测服务、雷电防护评估的相关公司不得参与。</w:t>
      </w:r>
    </w:p>
    <w:p>
      <w:pPr>
        <w:adjustRightInd w:val="0"/>
        <w:snapToGrid w:val="0"/>
        <w:spacing w:line="360" w:lineRule="auto"/>
        <w:rPr>
          <w:rFonts w:hAnsi="宋体"/>
          <w:b/>
        </w:rPr>
      </w:pPr>
      <w:r>
        <w:rPr>
          <w:rFonts w:hint="eastAsia" w:hAnsi="宋体"/>
          <w:b/>
        </w:rPr>
        <w:t>二、项目基本概况</w:t>
      </w:r>
    </w:p>
    <w:p>
      <w:pPr>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szCs w:val="21"/>
        </w:rPr>
        <w:t>小榄人民医院是一所集医疗、保健、教学为一体的综合性三甲医院，建筑面积约20.6万平方米。医院的雷电防护装置配备较齐全，全院的雷电防护装置</w:t>
      </w:r>
      <w:r>
        <w:rPr>
          <w:rFonts w:hint="eastAsia" w:ascii="宋体" w:hAnsi="宋体"/>
        </w:rPr>
        <w:t>配置有：接地装置、接闪器、引下线、等电位连接、电源浪涌保护器、信号浪涌保护器等。</w:t>
      </w:r>
    </w:p>
    <w:p>
      <w:pPr>
        <w:snapToGrid w:val="0"/>
        <w:spacing w:line="360"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三、服务范围</w:t>
      </w:r>
    </w:p>
    <w:p>
      <w:pPr>
        <w:snapToGrid w:val="0"/>
        <w:spacing w:line="360" w:lineRule="auto"/>
        <w:ind w:firstLine="422" w:firstLineChars="201"/>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本项目的服务范围是按</w:t>
      </w:r>
      <w:r>
        <w:rPr>
          <w:rFonts w:hint="eastAsia" w:ascii="宋体" w:hAnsi="宋体"/>
          <w:color w:val="000000" w:themeColor="text1"/>
          <w14:textFill>
            <w14:solidFill>
              <w14:schemeClr w14:val="tx1"/>
            </w14:solidFill>
          </w14:textFill>
        </w:rPr>
        <w:t>《中华人民共和国气象法》、《广东省防御雷电灾害管理规定》第284号、《广东省气象防灾防御条例》等</w:t>
      </w:r>
      <w:r>
        <w:rPr>
          <w:rFonts w:hint="eastAsia" w:ascii="宋体" w:hAnsi="宋体"/>
          <w:color w:val="000000" w:themeColor="text1"/>
          <w:kern w:val="0"/>
          <w:szCs w:val="21"/>
          <w14:textFill>
            <w14:solidFill>
              <w14:schemeClr w14:val="tx1"/>
            </w14:solidFill>
          </w14:textFill>
        </w:rPr>
        <w:t>相</w:t>
      </w:r>
      <w:r>
        <w:rPr>
          <w:rFonts w:ascii="宋体" w:hAnsi="宋体"/>
          <w:color w:val="000000" w:themeColor="text1"/>
          <w:kern w:val="0"/>
          <w:szCs w:val="21"/>
          <w14:textFill>
            <w14:solidFill>
              <w14:schemeClr w14:val="tx1"/>
            </w14:solidFill>
          </w14:textFill>
        </w:rPr>
        <w:t>关法律法</w:t>
      </w:r>
      <w:r>
        <w:rPr>
          <w:rFonts w:hint="eastAsia" w:ascii="宋体" w:hAnsi="宋体"/>
          <w:color w:val="000000" w:themeColor="text1"/>
          <w:kern w:val="0"/>
          <w:szCs w:val="21"/>
          <w14:textFill>
            <w14:solidFill>
              <w14:schemeClr w14:val="tx1"/>
            </w14:solidFill>
          </w14:textFill>
        </w:rPr>
        <w:t>规</w:t>
      </w: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对中山市小榄人民医院部分建（构）筑物雷电防护装置</w:t>
      </w:r>
      <w:r>
        <w:rPr>
          <w:rFonts w:ascii="宋体" w:hAnsi="宋体"/>
          <w:color w:val="000000" w:themeColor="text1"/>
          <w:szCs w:val="21"/>
          <w14:textFill>
            <w14:solidFill>
              <w14:schemeClr w14:val="tx1"/>
            </w14:solidFill>
          </w14:textFill>
        </w:rPr>
        <w:t>实施</w:t>
      </w:r>
      <w:r>
        <w:rPr>
          <w:rFonts w:hint="eastAsia" w:ascii="宋体" w:hAnsi="宋体"/>
          <w:color w:val="000000" w:themeColor="text1"/>
          <w:szCs w:val="21"/>
          <w14:textFill>
            <w14:solidFill>
              <w14:schemeClr w14:val="tx1"/>
            </w14:solidFill>
          </w14:textFill>
        </w:rPr>
        <w:t>全面的</w:t>
      </w:r>
      <w:r>
        <w:rPr>
          <w:rFonts w:hint="eastAsia" w:ascii="宋体" w:hAnsi="宋体" w:eastAsia="宋体"/>
          <w:color w:val="000000" w:themeColor="text1"/>
          <w14:textFill>
            <w14:solidFill>
              <w14:schemeClr w14:val="tx1"/>
            </w14:solidFill>
          </w14:textFill>
        </w:rPr>
        <w:t>开展定期检测</w:t>
      </w:r>
      <w:r>
        <w:rPr>
          <w:rFonts w:hint="eastAsia" w:ascii="宋体" w:hAnsi="宋体"/>
          <w:color w:val="000000" w:themeColor="text1"/>
          <w:szCs w:val="21"/>
          <w14:textFill>
            <w14:solidFill>
              <w14:schemeClr w14:val="tx1"/>
            </w14:solidFill>
          </w14:textFill>
        </w:rPr>
        <w:t>服务。</w:t>
      </w:r>
    </w:p>
    <w:p>
      <w:pPr>
        <w:numPr>
          <w:ilvl w:val="0"/>
          <w:numId w:val="1"/>
        </w:numPr>
        <w:snapToGrid w:val="0"/>
        <w:spacing w:line="360"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检测内容（包括但不限于）</w:t>
      </w:r>
    </w:p>
    <w:p>
      <w:pPr>
        <w:snapToGrid w:val="0"/>
        <w:spacing w:line="360" w:lineRule="auto"/>
        <w:ind w:firstLine="420" w:firstLineChars="200"/>
        <w:rPr>
          <w:rFonts w:ascii="宋体" w:hAnsi="宋体" w:cs="宋体"/>
          <w:szCs w:val="21"/>
        </w:rPr>
      </w:pPr>
      <w:r>
        <w:rPr>
          <w:rFonts w:hint="eastAsia" w:ascii="宋体" w:hAnsi="宋体" w:cs="宋体"/>
          <w:szCs w:val="21"/>
        </w:rPr>
        <w:t>1、接地装置；</w:t>
      </w:r>
    </w:p>
    <w:p>
      <w:pPr>
        <w:spacing w:line="460" w:lineRule="exact"/>
        <w:ind w:firstLine="420" w:firstLineChars="200"/>
        <w:rPr>
          <w:rFonts w:ascii="宋体" w:hAnsi="宋体" w:cs="宋体"/>
          <w:szCs w:val="21"/>
        </w:rPr>
      </w:pPr>
      <w:r>
        <w:rPr>
          <w:rFonts w:hint="eastAsia" w:ascii="宋体" w:hAnsi="宋体" w:cs="宋体"/>
          <w:szCs w:val="21"/>
        </w:rPr>
        <w:t>2、引下线；</w:t>
      </w:r>
    </w:p>
    <w:p>
      <w:pPr>
        <w:spacing w:line="460" w:lineRule="exact"/>
        <w:ind w:firstLine="420" w:firstLineChars="200"/>
        <w:rPr>
          <w:rFonts w:ascii="宋体" w:hAnsi="宋体" w:cs="宋体"/>
          <w:szCs w:val="21"/>
        </w:rPr>
      </w:pPr>
      <w:r>
        <w:rPr>
          <w:rFonts w:hint="eastAsia" w:ascii="宋体" w:hAnsi="宋体" w:cs="宋体"/>
          <w:szCs w:val="21"/>
        </w:rPr>
        <w:t>3、</w:t>
      </w:r>
      <w:r>
        <w:rPr>
          <w:rFonts w:hint="eastAsia" w:ascii="宋体" w:hAnsi="宋体" w:cs="仿宋_GB2312"/>
          <w:kern w:val="0"/>
          <w:lang w:val="en-US" w:eastAsia="zh-CN"/>
        </w:rPr>
        <w:t>网格</w:t>
      </w:r>
      <w:r>
        <w:rPr>
          <w:rFonts w:hint="eastAsia" w:ascii="宋体" w:hAnsi="宋体" w:cs="宋体"/>
          <w:szCs w:val="21"/>
        </w:rPr>
        <w:t>；</w:t>
      </w:r>
    </w:p>
    <w:p>
      <w:pPr>
        <w:spacing w:line="460" w:lineRule="exact"/>
        <w:ind w:firstLine="420" w:firstLineChars="200"/>
        <w:rPr>
          <w:rFonts w:ascii="宋体" w:hAnsi="宋体" w:cs="宋体"/>
          <w:szCs w:val="21"/>
        </w:rPr>
      </w:pPr>
      <w:r>
        <w:rPr>
          <w:rFonts w:hint="eastAsia" w:ascii="宋体" w:hAnsi="宋体" w:cs="宋体"/>
          <w:szCs w:val="21"/>
        </w:rPr>
        <w:t>4、</w:t>
      </w:r>
      <w:r>
        <w:rPr>
          <w:rFonts w:hint="eastAsia" w:ascii="宋体" w:hAnsi="宋体" w:cs="Times New Roman"/>
          <w:kern w:val="0"/>
          <w:lang w:val="en-US" w:eastAsia="zh-CN"/>
        </w:rPr>
        <w:t>避雷带</w:t>
      </w:r>
      <w:r>
        <w:rPr>
          <w:rFonts w:hint="eastAsia" w:ascii="宋体" w:hAnsi="宋体" w:cs="宋体"/>
          <w:szCs w:val="21"/>
        </w:rPr>
        <w:t>；</w:t>
      </w:r>
    </w:p>
    <w:p>
      <w:pPr>
        <w:spacing w:line="460" w:lineRule="exact"/>
        <w:ind w:firstLine="420" w:firstLineChars="200"/>
        <w:rPr>
          <w:rFonts w:ascii="宋体" w:hAnsi="宋体" w:cs="宋体"/>
          <w:szCs w:val="21"/>
        </w:rPr>
      </w:pPr>
      <w:r>
        <w:rPr>
          <w:rFonts w:hint="eastAsia" w:ascii="宋体" w:hAnsi="宋体" w:cs="宋体"/>
          <w:szCs w:val="21"/>
        </w:rPr>
        <w:t>5、</w:t>
      </w:r>
      <w:r>
        <w:rPr>
          <w:rFonts w:hint="eastAsia" w:ascii="宋体" w:hAnsi="宋体" w:cs="仿宋_GB2312"/>
          <w:kern w:val="0"/>
        </w:rPr>
        <w:t>天面金属物</w:t>
      </w:r>
      <w:r>
        <w:rPr>
          <w:rFonts w:hint="eastAsia" w:ascii="宋体" w:hAnsi="宋体" w:cs="宋体"/>
          <w:szCs w:val="21"/>
        </w:rPr>
        <w:t>；</w:t>
      </w:r>
    </w:p>
    <w:p>
      <w:pPr>
        <w:spacing w:line="460" w:lineRule="exact"/>
        <w:ind w:firstLine="420" w:firstLineChars="200"/>
        <w:rPr>
          <w:rFonts w:ascii="宋体" w:hAnsi="宋体" w:cs="宋体"/>
          <w:szCs w:val="21"/>
        </w:rPr>
      </w:pPr>
      <w:r>
        <w:rPr>
          <w:rFonts w:hint="eastAsia" w:ascii="宋体" w:hAnsi="宋体" w:cs="宋体"/>
          <w:szCs w:val="21"/>
        </w:rPr>
        <w:t>6、电源系统浪涌保护器；</w:t>
      </w:r>
    </w:p>
    <w:p>
      <w:pPr>
        <w:spacing w:line="460" w:lineRule="exact"/>
        <w:ind w:firstLine="420" w:firstLineChars="200"/>
        <w:rPr>
          <w:rFonts w:ascii="宋体" w:hAnsi="宋体" w:cs="宋体"/>
          <w:szCs w:val="21"/>
        </w:rPr>
      </w:pPr>
      <w:r>
        <w:rPr>
          <w:rFonts w:hint="eastAsia" w:ascii="宋体" w:hAnsi="宋体" w:cs="宋体"/>
          <w:szCs w:val="21"/>
        </w:rPr>
        <w:t>7、</w:t>
      </w:r>
      <w:r>
        <w:rPr>
          <w:rFonts w:hint="eastAsia" w:ascii="宋体" w:hAnsi="宋体" w:cs="仿宋_GB2312"/>
          <w:kern w:val="0"/>
        </w:rPr>
        <w:t>总配电SPD</w:t>
      </w:r>
      <w:r>
        <w:rPr>
          <w:rFonts w:hint="eastAsia" w:ascii="宋体" w:hAnsi="宋体" w:cs="宋体"/>
          <w:szCs w:val="21"/>
        </w:rPr>
        <w:t>；</w:t>
      </w:r>
    </w:p>
    <w:p>
      <w:pPr>
        <w:snapToGrid w:val="0"/>
        <w:spacing w:line="360" w:lineRule="auto"/>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五、检测具体要求及清单</w:t>
      </w:r>
    </w:p>
    <w:p>
      <w:pPr>
        <w:spacing w:line="460" w:lineRule="exact"/>
        <w:ind w:firstLine="420" w:firstLineChars="200"/>
        <w:rPr>
          <w:rFonts w:hAnsi="宋体" w:cs="宋体"/>
        </w:rPr>
      </w:pPr>
      <w:r>
        <w:rPr>
          <w:rFonts w:hint="eastAsia" w:hAnsi="宋体" w:cs="宋体"/>
        </w:rPr>
        <w:t>1、按照以下相关国家法律法规、检测标准等对中山市小榄人民医院内红线区域内（中山市小榄镇菊城大道中65号）的建（构）筑物雷电防护装置进行第三方年度定期检测，包括：</w:t>
      </w:r>
    </w:p>
    <w:p>
      <w:pPr>
        <w:numPr>
          <w:ilvl w:val="0"/>
          <w:numId w:val="2"/>
        </w:numPr>
        <w:spacing w:line="460" w:lineRule="exact"/>
        <w:rPr>
          <w:rFonts w:ascii="宋体" w:hAnsi="宋体" w:cs="宋体"/>
        </w:rPr>
      </w:pPr>
      <w:r>
        <w:rPr>
          <w:rFonts w:hint="eastAsia" w:ascii="宋体" w:hAnsi="宋体" w:cs="宋体"/>
        </w:rPr>
        <w:t>《建筑物防雷设计规范》GB50057-2010；</w:t>
      </w:r>
    </w:p>
    <w:p>
      <w:pPr>
        <w:numPr>
          <w:ilvl w:val="0"/>
          <w:numId w:val="2"/>
        </w:numPr>
        <w:spacing w:line="460" w:lineRule="exact"/>
        <w:rPr>
          <w:rFonts w:ascii="宋体" w:hAnsi="宋体" w:cs="宋体"/>
        </w:rPr>
      </w:pPr>
      <w:r>
        <w:rPr>
          <w:rFonts w:hint="eastAsia" w:ascii="宋体" w:hAnsi="宋体" w:cs="宋体"/>
        </w:rPr>
        <w:t>《防雷装置检测服务通用要求》DB44/T1797-2016；</w:t>
      </w:r>
    </w:p>
    <w:p>
      <w:pPr>
        <w:numPr>
          <w:ilvl w:val="0"/>
          <w:numId w:val="2"/>
        </w:numPr>
        <w:spacing w:line="460" w:lineRule="exact"/>
        <w:rPr>
          <w:rFonts w:ascii="宋体" w:hAnsi="宋体" w:cs="宋体"/>
        </w:rPr>
      </w:pPr>
      <w:r>
        <w:rPr>
          <w:rFonts w:hint="eastAsia" w:ascii="宋体" w:hAnsi="宋体" w:cs="宋体"/>
        </w:rPr>
        <w:t>《建筑物防雷装置检测技术规范》GB/T21431-2015。</w:t>
      </w:r>
    </w:p>
    <w:p>
      <w:pPr>
        <w:spacing w:line="460" w:lineRule="exact"/>
        <w:ind w:left="284"/>
        <w:rPr>
          <w:rFonts w:ascii="宋体" w:hAnsi="宋体" w:cs="宋体"/>
        </w:rPr>
      </w:pPr>
      <w:r>
        <w:rPr>
          <w:rFonts w:hint="eastAsia" w:hAnsi="宋体" w:cs="宋体"/>
        </w:rPr>
        <w:t>2、检测项目内容清单：</w:t>
      </w:r>
    </w:p>
    <w:tbl>
      <w:tblPr>
        <w:tblStyle w:val="4"/>
        <w:tblW w:w="6523" w:type="dxa"/>
        <w:jc w:val="center"/>
        <w:tblLayout w:type="fixed"/>
        <w:tblCellMar>
          <w:top w:w="0" w:type="dxa"/>
          <w:left w:w="108" w:type="dxa"/>
          <w:bottom w:w="0" w:type="dxa"/>
          <w:right w:w="108" w:type="dxa"/>
        </w:tblCellMar>
      </w:tblPr>
      <w:tblGrid>
        <w:gridCol w:w="612"/>
        <w:gridCol w:w="463"/>
        <w:gridCol w:w="614"/>
        <w:gridCol w:w="3477"/>
        <w:gridCol w:w="1357"/>
      </w:tblGrid>
      <w:tr>
        <w:tblPrEx>
          <w:tblCellMar>
            <w:top w:w="0" w:type="dxa"/>
            <w:left w:w="108" w:type="dxa"/>
            <w:bottom w:w="0" w:type="dxa"/>
            <w:right w:w="108" w:type="dxa"/>
          </w:tblCellMar>
        </w:tblPrEx>
        <w:trPr>
          <w:trHeight w:val="57" w:hRule="atLeast"/>
          <w:jc w:val="center"/>
        </w:trPr>
        <w:tc>
          <w:tcPr>
            <w:tcW w:w="6523" w:type="dxa"/>
            <w:gridSpan w:val="5"/>
            <w:tcBorders>
              <w:top w:val="single" w:color="auto" w:sz="4" w:space="0"/>
              <w:left w:val="single" w:color="auto" w:sz="4" w:space="0"/>
              <w:bottom w:val="single" w:color="auto" w:sz="4" w:space="0"/>
              <w:right w:val="single" w:color="auto" w:sz="4" w:space="0"/>
            </w:tcBorders>
            <w:vAlign w:val="center"/>
          </w:tcPr>
          <w:p>
            <w:pPr>
              <w:pStyle w:val="7"/>
              <w:widowControl/>
              <w:jc w:val="center"/>
              <w:rPr>
                <w:rFonts w:hint="eastAsia" w:ascii="宋体" w:hAnsi="宋体" w:cs="仿宋_GB2312"/>
                <w:b/>
                <w:bCs/>
                <w:kern w:val="0"/>
              </w:rPr>
            </w:pPr>
            <w:r>
              <w:rPr>
                <w:rFonts w:hint="eastAsia" w:ascii="宋体" w:hAnsi="宋体" w:cs="仿宋_GB2312"/>
                <w:b/>
                <w:bCs/>
                <w:kern w:val="0"/>
              </w:rPr>
              <w:t>雷电防护装置检测项目清单</w:t>
            </w:r>
          </w:p>
        </w:tc>
      </w:tr>
      <w:tr>
        <w:tblPrEx>
          <w:tblCellMar>
            <w:top w:w="0" w:type="dxa"/>
            <w:left w:w="108" w:type="dxa"/>
            <w:bottom w:w="0" w:type="dxa"/>
            <w:right w:w="108" w:type="dxa"/>
          </w:tblCellMar>
        </w:tblPrEx>
        <w:trPr>
          <w:trHeight w:val="57" w:hRule="atLeast"/>
          <w:jc w:val="center"/>
        </w:trPr>
        <w:tc>
          <w:tcPr>
            <w:tcW w:w="1075" w:type="dxa"/>
            <w:gridSpan w:val="2"/>
            <w:tcBorders>
              <w:top w:val="single" w:color="auto" w:sz="4" w:space="0"/>
              <w:left w:val="single" w:color="auto" w:sz="4" w:space="0"/>
              <w:bottom w:val="single" w:color="auto" w:sz="4" w:space="0"/>
              <w:right w:val="single" w:color="000000" w:sz="4" w:space="0"/>
            </w:tcBorders>
            <w:vAlign w:val="center"/>
          </w:tcPr>
          <w:p>
            <w:pPr>
              <w:pStyle w:val="7"/>
              <w:widowControl/>
              <w:jc w:val="center"/>
              <w:rPr>
                <w:rFonts w:ascii="宋体" w:hAnsi="宋体" w:cs="Times New Roman"/>
                <w:b/>
                <w:bCs/>
                <w:kern w:val="0"/>
              </w:rPr>
            </w:pPr>
            <w:r>
              <w:rPr>
                <w:rFonts w:hint="eastAsia" w:ascii="宋体" w:hAnsi="宋体" w:cs="仿宋_GB2312"/>
                <w:b/>
                <w:bCs/>
                <w:kern w:val="0"/>
              </w:rPr>
              <w:t>项目</w:t>
            </w:r>
          </w:p>
        </w:tc>
        <w:tc>
          <w:tcPr>
            <w:tcW w:w="4091" w:type="dxa"/>
            <w:gridSpan w:val="2"/>
            <w:tcBorders>
              <w:top w:val="single" w:color="auto" w:sz="4" w:space="0"/>
              <w:left w:val="nil"/>
              <w:bottom w:val="single" w:color="auto" w:sz="4" w:space="0"/>
              <w:right w:val="single" w:color="000000" w:sz="4" w:space="0"/>
            </w:tcBorders>
            <w:vAlign w:val="center"/>
          </w:tcPr>
          <w:p>
            <w:pPr>
              <w:pStyle w:val="7"/>
              <w:widowControl/>
              <w:jc w:val="center"/>
              <w:rPr>
                <w:rFonts w:ascii="宋体" w:hAnsi="宋体" w:cs="Times New Roman"/>
                <w:b/>
                <w:bCs/>
                <w:kern w:val="0"/>
              </w:rPr>
            </w:pPr>
            <w:r>
              <w:rPr>
                <w:rFonts w:hint="eastAsia" w:ascii="宋体" w:hAnsi="宋体" w:cs="仿宋_GB2312"/>
                <w:b/>
                <w:bCs/>
                <w:kern w:val="0"/>
              </w:rPr>
              <w:t>明细清单</w:t>
            </w:r>
          </w:p>
        </w:tc>
        <w:tc>
          <w:tcPr>
            <w:tcW w:w="1357" w:type="dxa"/>
            <w:tcBorders>
              <w:top w:val="single" w:color="auto" w:sz="4" w:space="0"/>
              <w:left w:val="nil"/>
              <w:bottom w:val="single" w:color="auto" w:sz="4" w:space="0"/>
              <w:right w:val="single" w:color="000000" w:sz="4" w:space="0"/>
            </w:tcBorders>
            <w:vAlign w:val="center"/>
          </w:tcPr>
          <w:p>
            <w:pPr>
              <w:pStyle w:val="7"/>
              <w:widowControl/>
              <w:jc w:val="center"/>
              <w:rPr>
                <w:rFonts w:hint="eastAsia" w:ascii="宋体" w:hAnsi="宋体" w:eastAsia="宋体" w:cs="仿宋_GB2312"/>
                <w:b/>
                <w:bCs/>
                <w:kern w:val="0"/>
                <w:lang w:val="en-US" w:eastAsia="zh-CN"/>
              </w:rPr>
            </w:pPr>
            <w:r>
              <w:rPr>
                <w:rFonts w:hint="eastAsia" w:ascii="宋体" w:hAnsi="宋体" w:cs="仿宋_GB2312"/>
                <w:b/>
                <w:bCs/>
                <w:kern w:val="0"/>
                <w:highlight w:val="none"/>
                <w:lang w:val="en-US" w:eastAsia="zh-CN"/>
              </w:rPr>
              <w:t>测点数</w:t>
            </w:r>
          </w:p>
        </w:tc>
      </w:tr>
      <w:tr>
        <w:tblPrEx>
          <w:tblCellMar>
            <w:top w:w="0" w:type="dxa"/>
            <w:left w:w="108" w:type="dxa"/>
            <w:bottom w:w="0" w:type="dxa"/>
            <w:right w:w="108" w:type="dxa"/>
          </w:tblCellMar>
        </w:tblPrEx>
        <w:trPr>
          <w:trHeight w:val="57" w:hRule="atLeast"/>
          <w:jc w:val="center"/>
        </w:trPr>
        <w:tc>
          <w:tcPr>
            <w:tcW w:w="612" w:type="dxa"/>
            <w:vMerge w:val="restart"/>
            <w:tcBorders>
              <w:top w:val="nil"/>
              <w:left w:val="single" w:color="auto" w:sz="4" w:space="0"/>
              <w:bottom w:val="single" w:color="000000" w:sz="4" w:space="0"/>
              <w:right w:val="single" w:color="auto" w:sz="4" w:space="0"/>
            </w:tcBorders>
            <w:vAlign w:val="center"/>
          </w:tcPr>
          <w:p>
            <w:pPr>
              <w:pStyle w:val="7"/>
              <w:widowControl/>
              <w:jc w:val="center"/>
              <w:rPr>
                <w:rFonts w:ascii="宋体" w:hAnsi="宋体" w:cs="Times New Roman"/>
                <w:kern w:val="0"/>
              </w:rPr>
            </w:pPr>
            <w:r>
              <w:rPr>
                <w:rFonts w:hint="eastAsia" w:ascii="宋体" w:hAnsi="宋体" w:cs="仿宋_GB2312"/>
                <w:kern w:val="0"/>
              </w:rPr>
              <w:t>一</w:t>
            </w:r>
          </w:p>
        </w:tc>
        <w:tc>
          <w:tcPr>
            <w:tcW w:w="463" w:type="dxa"/>
            <w:vMerge w:val="restart"/>
            <w:tcBorders>
              <w:top w:val="nil"/>
              <w:left w:val="single" w:color="auto" w:sz="4" w:space="0"/>
              <w:bottom w:val="single" w:color="auto" w:sz="4" w:space="0"/>
              <w:right w:val="single" w:color="auto" w:sz="4" w:space="0"/>
            </w:tcBorders>
            <w:vAlign w:val="center"/>
          </w:tcPr>
          <w:p>
            <w:pPr>
              <w:pStyle w:val="7"/>
              <w:widowControl/>
              <w:jc w:val="center"/>
              <w:rPr>
                <w:rFonts w:ascii="宋体" w:hAnsi="宋体" w:cs="仿宋_GB2312"/>
                <w:kern w:val="0"/>
              </w:rPr>
            </w:pPr>
            <w:r>
              <w:rPr>
                <w:rFonts w:hint="eastAsia" w:ascii="宋体" w:hAnsi="宋体" w:cs="仿宋_GB2312"/>
                <w:kern w:val="0"/>
              </w:rPr>
              <w:t>综合楼住院部</w:t>
            </w: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1</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接地装置</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2</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引下线</w:t>
            </w:r>
          </w:p>
        </w:tc>
        <w:tc>
          <w:tcPr>
            <w:tcW w:w="1357" w:type="dxa"/>
            <w:tcBorders>
              <w:top w:val="nil"/>
              <w:left w:val="nil"/>
              <w:bottom w:val="single" w:color="auto" w:sz="4" w:space="0"/>
              <w:right w:val="single" w:color="auto" w:sz="4" w:space="0"/>
            </w:tcBorders>
            <w:vAlign w:val="center"/>
          </w:tcPr>
          <w:p>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27</w:t>
            </w:r>
          </w:p>
        </w:tc>
      </w:tr>
      <w:tr>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pPr>
              <w:pStyle w:val="7"/>
              <w:widowControl/>
              <w:rPr>
                <w:rFonts w:hint="eastAsia" w:ascii="宋体" w:hAnsi="宋体" w:eastAsia="宋体" w:cs="Times New Roman"/>
                <w:kern w:val="0"/>
                <w:lang w:eastAsia="zh-CN"/>
              </w:rPr>
            </w:pPr>
            <w:r>
              <w:rPr>
                <w:rFonts w:hint="eastAsia" w:ascii="宋体" w:hAnsi="宋体" w:cs="仿宋_GB2312"/>
                <w:kern w:val="0"/>
                <w:lang w:val="en-US" w:eastAsia="zh-CN"/>
              </w:rPr>
              <w:t>网格</w:t>
            </w:r>
          </w:p>
        </w:tc>
        <w:tc>
          <w:tcPr>
            <w:tcW w:w="1357" w:type="dxa"/>
            <w:tcBorders>
              <w:top w:val="nil"/>
              <w:left w:val="nil"/>
              <w:bottom w:val="single" w:color="auto" w:sz="4" w:space="0"/>
              <w:right w:val="single" w:color="auto" w:sz="4" w:space="0"/>
            </w:tcBorders>
            <w:vAlign w:val="center"/>
          </w:tcPr>
          <w:p>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71</w:t>
            </w:r>
          </w:p>
        </w:tc>
      </w:tr>
      <w:tr>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pPr>
              <w:pStyle w:val="7"/>
              <w:widowControl/>
              <w:rPr>
                <w:rFonts w:hint="eastAsia" w:ascii="宋体" w:hAnsi="宋体" w:eastAsia="宋体" w:cs="Times New Roman"/>
                <w:kern w:val="0"/>
                <w:lang w:eastAsia="zh-CN"/>
              </w:rPr>
            </w:pPr>
            <w:r>
              <w:rPr>
                <w:rFonts w:hint="eastAsia" w:ascii="宋体" w:hAnsi="宋体" w:cs="Times New Roman"/>
                <w:kern w:val="0"/>
                <w:lang w:val="en-US" w:eastAsia="zh-CN"/>
              </w:rPr>
              <w:t>避雷带</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ascii="宋体" w:hAnsi="宋体" w:cs="Times New Roman"/>
                <w:kern w:val="0"/>
              </w:rPr>
              <w:t>接闪杆</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天面金属物</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5</w:t>
            </w:r>
          </w:p>
        </w:tc>
      </w:tr>
      <w:tr>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总配电SPD</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4</w:t>
            </w:r>
          </w:p>
        </w:tc>
      </w:tr>
      <w:tr>
        <w:tblPrEx>
          <w:tblCellMar>
            <w:top w:w="0" w:type="dxa"/>
            <w:left w:w="108" w:type="dxa"/>
            <w:bottom w:w="0" w:type="dxa"/>
            <w:right w:w="108" w:type="dxa"/>
          </w:tblCellMar>
        </w:tblPrEx>
        <w:trPr>
          <w:trHeight w:val="90" w:hRule="atLeast"/>
          <w:jc w:val="center"/>
        </w:trPr>
        <w:tc>
          <w:tcPr>
            <w:tcW w:w="612" w:type="dxa"/>
            <w:vMerge w:val="restart"/>
            <w:tcBorders>
              <w:top w:val="nil"/>
              <w:left w:val="single" w:color="auto" w:sz="4" w:space="0"/>
              <w:right w:val="single" w:color="auto" w:sz="4" w:space="0"/>
            </w:tcBorders>
            <w:vAlign w:val="center"/>
          </w:tcPr>
          <w:p>
            <w:pPr>
              <w:pStyle w:val="7"/>
              <w:widowControl/>
              <w:jc w:val="center"/>
              <w:rPr>
                <w:rFonts w:ascii="宋体" w:hAnsi="宋体" w:cs="Times New Roman"/>
                <w:kern w:val="0"/>
              </w:rPr>
            </w:pPr>
            <w:r>
              <w:rPr>
                <w:rFonts w:hint="eastAsia" w:ascii="宋体" w:hAnsi="宋体" w:cs="仿宋_GB2312"/>
                <w:kern w:val="0"/>
              </w:rPr>
              <w:t>二</w:t>
            </w:r>
          </w:p>
        </w:tc>
        <w:tc>
          <w:tcPr>
            <w:tcW w:w="463" w:type="dxa"/>
            <w:vMerge w:val="restart"/>
            <w:tcBorders>
              <w:top w:val="nil"/>
              <w:left w:val="nil"/>
              <w:right w:val="single" w:color="auto" w:sz="4" w:space="0"/>
            </w:tcBorders>
            <w:vAlign w:val="center"/>
          </w:tcPr>
          <w:p>
            <w:pPr>
              <w:pStyle w:val="7"/>
              <w:widowControl/>
              <w:jc w:val="center"/>
              <w:rPr>
                <w:rFonts w:ascii="宋体" w:hAnsi="宋体" w:cs="Times New Roman"/>
                <w:kern w:val="0"/>
              </w:rPr>
            </w:pPr>
            <w:r>
              <w:rPr>
                <w:rFonts w:hint="eastAsia" w:ascii="宋体" w:hAnsi="宋体" w:cs="仿宋_GB2312"/>
                <w:kern w:val="0"/>
              </w:rPr>
              <w:t>综合楼门诊部</w:t>
            </w: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1</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接地装置</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2</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引下线</w:t>
            </w:r>
          </w:p>
        </w:tc>
        <w:tc>
          <w:tcPr>
            <w:tcW w:w="1357" w:type="dxa"/>
            <w:tcBorders>
              <w:top w:val="nil"/>
              <w:left w:val="nil"/>
              <w:bottom w:val="single" w:color="auto" w:sz="4" w:space="0"/>
              <w:right w:val="single" w:color="auto" w:sz="4" w:space="0"/>
            </w:tcBorders>
            <w:vAlign w:val="center"/>
          </w:tcPr>
          <w:p>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26</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lang w:val="en-US" w:eastAsia="zh-CN"/>
              </w:rPr>
              <w:t>网格</w:t>
            </w:r>
          </w:p>
        </w:tc>
        <w:tc>
          <w:tcPr>
            <w:tcW w:w="1357" w:type="dxa"/>
            <w:tcBorders>
              <w:top w:val="nil"/>
              <w:left w:val="nil"/>
              <w:bottom w:val="single" w:color="auto" w:sz="4" w:space="0"/>
              <w:right w:val="single" w:color="auto" w:sz="4" w:space="0"/>
            </w:tcBorders>
            <w:vAlign w:val="center"/>
          </w:tcPr>
          <w:p>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51</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Times New Roman"/>
                <w:kern w:val="0"/>
                <w:lang w:val="en-US" w:eastAsia="zh-CN"/>
              </w:rPr>
              <w:t>避雷带</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ascii="宋体" w:hAnsi="宋体" w:cs="Times New Roman"/>
                <w:kern w:val="0"/>
              </w:rPr>
              <w:t>接闪杆</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天面金属物</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5</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总配电SPD</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4</w:t>
            </w:r>
          </w:p>
        </w:tc>
      </w:tr>
      <w:tr>
        <w:tblPrEx>
          <w:tblCellMar>
            <w:top w:w="0" w:type="dxa"/>
            <w:left w:w="108" w:type="dxa"/>
            <w:bottom w:w="0" w:type="dxa"/>
            <w:right w:w="108" w:type="dxa"/>
          </w:tblCellMar>
        </w:tblPrEx>
        <w:trPr>
          <w:trHeight w:val="57" w:hRule="atLeast"/>
          <w:jc w:val="center"/>
        </w:trPr>
        <w:tc>
          <w:tcPr>
            <w:tcW w:w="612" w:type="dxa"/>
            <w:vMerge w:val="restart"/>
            <w:tcBorders>
              <w:top w:val="nil"/>
              <w:left w:val="single" w:color="auto" w:sz="4" w:space="0"/>
              <w:right w:val="single" w:color="auto" w:sz="4" w:space="0"/>
            </w:tcBorders>
            <w:vAlign w:val="center"/>
          </w:tcPr>
          <w:p>
            <w:pPr>
              <w:pStyle w:val="7"/>
              <w:widowControl/>
              <w:jc w:val="center"/>
              <w:rPr>
                <w:rFonts w:ascii="宋体" w:hAnsi="宋体" w:cs="Times New Roman"/>
                <w:kern w:val="0"/>
              </w:rPr>
            </w:pPr>
            <w:r>
              <w:rPr>
                <w:rFonts w:hint="eastAsia" w:ascii="宋体" w:hAnsi="宋体" w:cs="仿宋_GB2312"/>
                <w:kern w:val="0"/>
              </w:rPr>
              <w:t>三</w:t>
            </w:r>
          </w:p>
        </w:tc>
        <w:tc>
          <w:tcPr>
            <w:tcW w:w="463" w:type="dxa"/>
            <w:vMerge w:val="restart"/>
            <w:tcBorders>
              <w:top w:val="nil"/>
              <w:left w:val="nil"/>
              <w:right w:val="single" w:color="auto" w:sz="4" w:space="0"/>
            </w:tcBorders>
            <w:vAlign w:val="center"/>
          </w:tcPr>
          <w:p>
            <w:pPr>
              <w:pStyle w:val="7"/>
              <w:widowControl/>
              <w:jc w:val="center"/>
              <w:rPr>
                <w:rFonts w:ascii="宋体" w:hAnsi="宋体" w:cs="Times New Roman"/>
                <w:kern w:val="0"/>
              </w:rPr>
            </w:pPr>
            <w:r>
              <w:rPr>
                <w:rFonts w:hint="eastAsia" w:ascii="宋体" w:hAnsi="宋体" w:cs="仿宋_GB2312"/>
                <w:kern w:val="0"/>
              </w:rPr>
              <w:t>内科楼</w:t>
            </w: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1</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接地装置</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2</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引下线</w:t>
            </w:r>
          </w:p>
        </w:tc>
        <w:tc>
          <w:tcPr>
            <w:tcW w:w="1357" w:type="dxa"/>
            <w:tcBorders>
              <w:top w:val="nil"/>
              <w:left w:val="nil"/>
              <w:bottom w:val="single" w:color="auto" w:sz="4" w:space="0"/>
              <w:right w:val="single" w:color="auto" w:sz="4" w:space="0"/>
            </w:tcBorders>
            <w:vAlign w:val="center"/>
          </w:tcPr>
          <w:p>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19</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lang w:val="en-US" w:eastAsia="zh-CN"/>
              </w:rPr>
              <w:t>网格</w:t>
            </w:r>
          </w:p>
        </w:tc>
        <w:tc>
          <w:tcPr>
            <w:tcW w:w="1357" w:type="dxa"/>
            <w:tcBorders>
              <w:top w:val="nil"/>
              <w:left w:val="nil"/>
              <w:bottom w:val="single" w:color="auto" w:sz="4" w:space="0"/>
              <w:right w:val="single" w:color="auto" w:sz="4" w:space="0"/>
            </w:tcBorders>
            <w:vAlign w:val="center"/>
          </w:tcPr>
          <w:p>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23</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Times New Roman"/>
                <w:kern w:val="0"/>
                <w:lang w:val="en-US" w:eastAsia="zh-CN"/>
              </w:rPr>
              <w:t>避雷带</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ascii="宋体" w:hAnsi="宋体" w:cs="Times New Roman"/>
                <w:kern w:val="0"/>
              </w:rPr>
              <w:t>接闪杆</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天面金属物</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5</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总配电SPD</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4</w:t>
            </w:r>
          </w:p>
        </w:tc>
      </w:tr>
      <w:tr>
        <w:tblPrEx>
          <w:tblCellMar>
            <w:top w:w="0" w:type="dxa"/>
            <w:left w:w="108" w:type="dxa"/>
            <w:bottom w:w="0" w:type="dxa"/>
            <w:right w:w="108" w:type="dxa"/>
          </w:tblCellMar>
        </w:tblPrEx>
        <w:trPr>
          <w:trHeight w:val="57" w:hRule="atLeast"/>
          <w:jc w:val="center"/>
        </w:trPr>
        <w:tc>
          <w:tcPr>
            <w:tcW w:w="612" w:type="dxa"/>
            <w:vMerge w:val="restart"/>
            <w:tcBorders>
              <w:top w:val="nil"/>
              <w:left w:val="single" w:color="auto" w:sz="4" w:space="0"/>
              <w:right w:val="single" w:color="auto" w:sz="4" w:space="0"/>
            </w:tcBorders>
            <w:vAlign w:val="center"/>
          </w:tcPr>
          <w:p>
            <w:pPr>
              <w:pStyle w:val="7"/>
              <w:widowControl/>
              <w:jc w:val="center"/>
              <w:rPr>
                <w:rFonts w:ascii="宋体" w:hAnsi="宋体" w:cs="Times New Roman"/>
                <w:kern w:val="0"/>
              </w:rPr>
            </w:pPr>
            <w:r>
              <w:rPr>
                <w:rFonts w:hint="eastAsia" w:ascii="宋体" w:hAnsi="宋体" w:cs="仿宋_GB2312"/>
                <w:kern w:val="0"/>
              </w:rPr>
              <w:t>四</w:t>
            </w:r>
          </w:p>
        </w:tc>
        <w:tc>
          <w:tcPr>
            <w:tcW w:w="463" w:type="dxa"/>
            <w:vMerge w:val="restart"/>
            <w:tcBorders>
              <w:top w:val="nil"/>
              <w:left w:val="nil"/>
              <w:right w:val="single" w:color="auto" w:sz="4" w:space="0"/>
            </w:tcBorders>
            <w:vAlign w:val="center"/>
          </w:tcPr>
          <w:p>
            <w:pPr>
              <w:pStyle w:val="7"/>
              <w:widowControl/>
              <w:jc w:val="center"/>
              <w:rPr>
                <w:rFonts w:ascii="宋体" w:hAnsi="宋体" w:cs="Times New Roman"/>
                <w:kern w:val="0"/>
              </w:rPr>
            </w:pPr>
            <w:r>
              <w:rPr>
                <w:rFonts w:hint="eastAsia" w:ascii="宋体" w:hAnsi="宋体" w:cs="仿宋_GB2312"/>
                <w:kern w:val="0"/>
              </w:rPr>
              <w:t>妇幼保健中心</w:t>
            </w: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1</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接地装置</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2</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引下线</w:t>
            </w:r>
          </w:p>
        </w:tc>
        <w:tc>
          <w:tcPr>
            <w:tcW w:w="1357" w:type="dxa"/>
            <w:tcBorders>
              <w:top w:val="nil"/>
              <w:left w:val="nil"/>
              <w:bottom w:val="single" w:color="auto" w:sz="4" w:space="0"/>
              <w:right w:val="single" w:color="auto" w:sz="4" w:space="0"/>
            </w:tcBorders>
            <w:vAlign w:val="center"/>
          </w:tcPr>
          <w:p>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30</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lang w:val="en-US" w:eastAsia="zh-CN"/>
              </w:rPr>
              <w:t>网格</w:t>
            </w:r>
          </w:p>
        </w:tc>
        <w:tc>
          <w:tcPr>
            <w:tcW w:w="1357" w:type="dxa"/>
            <w:tcBorders>
              <w:top w:val="nil"/>
              <w:left w:val="nil"/>
              <w:bottom w:val="single" w:color="auto" w:sz="4" w:space="0"/>
              <w:right w:val="single" w:color="auto" w:sz="4" w:space="0"/>
            </w:tcBorders>
            <w:vAlign w:val="center"/>
          </w:tcPr>
          <w:p>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37</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Times New Roman"/>
                <w:kern w:val="0"/>
                <w:lang w:val="en-US" w:eastAsia="zh-CN"/>
              </w:rPr>
              <w:t>避雷带</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ascii="宋体" w:hAnsi="宋体" w:cs="Times New Roman"/>
                <w:kern w:val="0"/>
              </w:rPr>
              <w:t>接闪杆</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天面金属物</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5</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仿宋_GB2312"/>
                <w:kern w:val="0"/>
              </w:rPr>
            </w:pPr>
          </w:p>
        </w:tc>
        <w:tc>
          <w:tcPr>
            <w:tcW w:w="463" w:type="dxa"/>
            <w:vMerge w:val="continue"/>
            <w:tcBorders>
              <w:left w:val="nil"/>
              <w:right w:val="single" w:color="auto" w:sz="4" w:space="0"/>
            </w:tcBorders>
            <w:vAlign w:val="center"/>
          </w:tcPr>
          <w:p>
            <w:pPr>
              <w:pStyle w:val="7"/>
              <w:widowControl/>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总配电SPD</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4</w:t>
            </w:r>
          </w:p>
        </w:tc>
      </w:tr>
      <w:tr>
        <w:tblPrEx>
          <w:tblCellMar>
            <w:top w:w="0" w:type="dxa"/>
            <w:left w:w="108" w:type="dxa"/>
            <w:bottom w:w="0" w:type="dxa"/>
            <w:right w:w="108" w:type="dxa"/>
          </w:tblCellMar>
        </w:tblPrEx>
        <w:trPr>
          <w:trHeight w:val="57" w:hRule="atLeast"/>
          <w:jc w:val="center"/>
        </w:trPr>
        <w:tc>
          <w:tcPr>
            <w:tcW w:w="612" w:type="dxa"/>
            <w:vMerge w:val="restart"/>
            <w:tcBorders>
              <w:top w:val="nil"/>
              <w:left w:val="single" w:color="auto" w:sz="4" w:space="0"/>
              <w:right w:val="single" w:color="auto" w:sz="4" w:space="0"/>
            </w:tcBorders>
            <w:vAlign w:val="center"/>
          </w:tcPr>
          <w:p>
            <w:pPr>
              <w:pStyle w:val="7"/>
              <w:jc w:val="center"/>
              <w:rPr>
                <w:rFonts w:ascii="宋体" w:hAnsi="宋体" w:cs="仿宋_GB2312"/>
                <w:kern w:val="0"/>
              </w:rPr>
            </w:pPr>
            <w:r>
              <w:rPr>
                <w:rFonts w:hint="eastAsia" w:ascii="宋体" w:hAnsi="宋体" w:cs="仿宋_GB2312"/>
                <w:kern w:val="0"/>
              </w:rPr>
              <w:t>五</w:t>
            </w:r>
          </w:p>
        </w:tc>
        <w:tc>
          <w:tcPr>
            <w:tcW w:w="463" w:type="dxa"/>
            <w:vMerge w:val="restart"/>
            <w:tcBorders>
              <w:top w:val="nil"/>
              <w:left w:val="nil"/>
              <w:right w:val="single" w:color="auto" w:sz="4" w:space="0"/>
            </w:tcBorders>
            <w:vAlign w:val="center"/>
          </w:tcPr>
          <w:p>
            <w:pPr>
              <w:pStyle w:val="7"/>
              <w:jc w:val="center"/>
              <w:rPr>
                <w:rFonts w:ascii="宋体" w:hAnsi="宋体" w:cs="仿宋_GB2312"/>
                <w:kern w:val="0"/>
              </w:rPr>
            </w:pPr>
            <w:r>
              <w:rPr>
                <w:rFonts w:hint="eastAsia" w:ascii="宋体" w:hAnsi="宋体" w:cs="仿宋_GB2312"/>
                <w:kern w:val="0"/>
              </w:rPr>
              <w:t>感染楼</w:t>
            </w: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1</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接地装置</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jc w:val="center"/>
              <w:rPr>
                <w:rFonts w:ascii="宋体" w:hAnsi="宋体" w:cs="仿宋_GB2312"/>
                <w:kern w:val="0"/>
              </w:rPr>
            </w:pPr>
          </w:p>
        </w:tc>
        <w:tc>
          <w:tcPr>
            <w:tcW w:w="463" w:type="dxa"/>
            <w:vMerge w:val="continue"/>
            <w:tcBorders>
              <w:left w:val="nil"/>
              <w:right w:val="single" w:color="auto" w:sz="4" w:space="0"/>
            </w:tcBorders>
            <w:vAlign w:val="center"/>
          </w:tcPr>
          <w:p>
            <w:pPr>
              <w:pStyle w:val="7"/>
              <w:jc w:val="center"/>
              <w:rPr>
                <w:rFonts w:ascii="宋体" w:hAnsi="宋体" w:cs="仿宋_GB2312"/>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2</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引下线</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8</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center"/>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center"/>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lang w:val="en-US" w:eastAsia="zh-CN"/>
              </w:rPr>
              <w:t>网格</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8</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Times New Roman"/>
                <w:kern w:val="0"/>
                <w:lang w:val="en-US" w:eastAsia="zh-CN"/>
              </w:rPr>
              <w:t>避雷带</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ascii="宋体" w:hAnsi="宋体" w:cs="Times New Roman"/>
                <w:kern w:val="0"/>
              </w:rPr>
              <w:t>接闪杆</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天面金属物</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5</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bottom w:val="single" w:color="000000"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bottom w:val="single" w:color="auto" w:sz="4" w:space="0"/>
              <w:right w:val="single" w:color="auto" w:sz="4" w:space="0"/>
            </w:tcBorders>
            <w:vAlign w:val="center"/>
          </w:tcPr>
          <w:p>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总配电SPD</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restart"/>
            <w:tcBorders>
              <w:top w:val="single" w:color="auto" w:sz="4" w:space="0"/>
              <w:left w:val="single" w:color="auto" w:sz="4" w:space="0"/>
              <w:bottom w:val="single" w:color="000000" w:sz="4" w:space="0"/>
              <w:right w:val="single" w:color="auto" w:sz="4" w:space="0"/>
            </w:tcBorders>
            <w:vAlign w:val="center"/>
          </w:tcPr>
          <w:p>
            <w:pPr>
              <w:pStyle w:val="7"/>
              <w:widowControl/>
              <w:jc w:val="center"/>
              <w:rPr>
                <w:rFonts w:ascii="宋体" w:hAnsi="宋体" w:cs="Times New Roman"/>
                <w:kern w:val="0"/>
              </w:rPr>
            </w:pPr>
            <w:r>
              <w:rPr>
                <w:rFonts w:hint="eastAsia" w:ascii="宋体" w:hAnsi="宋体" w:cs="仿宋_GB2312"/>
                <w:kern w:val="0"/>
              </w:rPr>
              <w:t>六</w:t>
            </w:r>
          </w:p>
        </w:tc>
        <w:tc>
          <w:tcPr>
            <w:tcW w:w="463" w:type="dxa"/>
            <w:vMerge w:val="restart"/>
            <w:tcBorders>
              <w:top w:val="single" w:color="auto" w:sz="4" w:space="0"/>
              <w:left w:val="single" w:color="auto" w:sz="4" w:space="0"/>
              <w:bottom w:val="single" w:color="auto" w:sz="4" w:space="0"/>
              <w:right w:val="single" w:color="auto" w:sz="4" w:space="0"/>
            </w:tcBorders>
            <w:vAlign w:val="center"/>
          </w:tcPr>
          <w:p>
            <w:pPr>
              <w:pStyle w:val="7"/>
              <w:widowControl/>
              <w:jc w:val="center"/>
              <w:rPr>
                <w:rFonts w:hint="eastAsia" w:ascii="宋体" w:hAnsi="宋体" w:cs="仿宋_GB2312"/>
                <w:kern w:val="0"/>
              </w:rPr>
            </w:pPr>
            <w:r>
              <w:rPr>
                <w:rFonts w:hint="eastAsia" w:ascii="宋体" w:hAnsi="宋体" w:cs="仿宋_GB2312"/>
                <w:kern w:val="0"/>
              </w:rPr>
              <w:t>肿瘤</w:t>
            </w:r>
          </w:p>
          <w:p>
            <w:pPr>
              <w:pStyle w:val="7"/>
              <w:widowControl/>
              <w:jc w:val="center"/>
              <w:rPr>
                <w:rFonts w:ascii="宋体" w:hAnsi="宋体" w:cs="Times New Roman"/>
                <w:kern w:val="0"/>
              </w:rPr>
            </w:pPr>
            <w:r>
              <w:rPr>
                <w:rFonts w:hint="eastAsia" w:ascii="宋体" w:hAnsi="宋体" w:cs="仿宋_GB2312"/>
                <w:kern w:val="0"/>
              </w:rPr>
              <w:t>中心</w:t>
            </w:r>
          </w:p>
        </w:tc>
        <w:tc>
          <w:tcPr>
            <w:tcW w:w="614" w:type="dxa"/>
            <w:tcBorders>
              <w:top w:val="single" w:color="auto" w:sz="4" w:space="0"/>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1</w:t>
            </w:r>
          </w:p>
        </w:tc>
        <w:tc>
          <w:tcPr>
            <w:tcW w:w="3477" w:type="dxa"/>
            <w:tcBorders>
              <w:top w:val="single" w:color="auto" w:sz="4" w:space="0"/>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接地装置</w:t>
            </w:r>
          </w:p>
        </w:tc>
        <w:tc>
          <w:tcPr>
            <w:tcW w:w="1357" w:type="dxa"/>
            <w:tcBorders>
              <w:top w:val="single" w:color="auto" w:sz="4" w:space="0"/>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2</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引下线</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8</w:t>
            </w:r>
          </w:p>
        </w:tc>
      </w:tr>
      <w:tr>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lang w:val="en-US" w:eastAsia="zh-CN"/>
              </w:rPr>
              <w:t>网格</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9</w:t>
            </w:r>
          </w:p>
        </w:tc>
      </w:tr>
      <w:tr>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Times New Roman"/>
                <w:kern w:val="0"/>
                <w:lang w:val="en-US" w:eastAsia="zh-CN"/>
              </w:rPr>
              <w:t>避雷带</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ascii="宋体" w:hAnsi="宋体" w:cs="Times New Roman"/>
                <w:kern w:val="0"/>
              </w:rPr>
              <w:t>接闪杆</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天面金属物</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5</w:t>
            </w:r>
          </w:p>
        </w:tc>
      </w:tr>
      <w:tr>
        <w:tblPrEx>
          <w:tblCellMar>
            <w:top w:w="0" w:type="dxa"/>
            <w:left w:w="108" w:type="dxa"/>
            <w:bottom w:w="0" w:type="dxa"/>
            <w:right w:w="108" w:type="dxa"/>
          </w:tblCellMar>
        </w:tblPrEx>
        <w:trPr>
          <w:trHeight w:val="57" w:hRule="atLeast"/>
          <w:jc w:val="center"/>
        </w:trPr>
        <w:tc>
          <w:tcPr>
            <w:tcW w:w="612" w:type="dxa"/>
            <w:vMerge w:val="continue"/>
            <w:tcBorders>
              <w:top w:val="nil"/>
              <w:left w:val="single" w:color="auto" w:sz="4" w:space="0"/>
              <w:bottom w:val="single" w:color="000000"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top w:val="nil"/>
              <w:left w:val="single" w:color="auto" w:sz="4" w:space="0"/>
              <w:bottom w:val="single" w:color="auto" w:sz="4" w:space="0"/>
              <w:right w:val="single" w:color="auto" w:sz="4" w:space="0"/>
            </w:tcBorders>
            <w:vAlign w:val="center"/>
          </w:tcPr>
          <w:p>
            <w:pPr>
              <w:pStyle w:val="7"/>
              <w:widowControl/>
              <w:jc w:val="left"/>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总配电SPD</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restart"/>
            <w:tcBorders>
              <w:top w:val="nil"/>
              <w:left w:val="single" w:color="auto" w:sz="4" w:space="0"/>
              <w:right w:val="single" w:color="auto" w:sz="4" w:space="0"/>
            </w:tcBorders>
            <w:vAlign w:val="center"/>
          </w:tcPr>
          <w:p>
            <w:pPr>
              <w:pStyle w:val="7"/>
              <w:widowControl/>
              <w:jc w:val="left"/>
              <w:rPr>
                <w:rFonts w:ascii="宋体" w:hAnsi="宋体" w:cs="Times New Roman"/>
                <w:kern w:val="0"/>
              </w:rPr>
            </w:pPr>
            <w:r>
              <w:rPr>
                <w:rFonts w:hint="eastAsia" w:ascii="宋体" w:hAnsi="宋体" w:cs="Times New Roman"/>
                <w:kern w:val="0"/>
              </w:rPr>
              <w:t>七</w:t>
            </w:r>
          </w:p>
        </w:tc>
        <w:tc>
          <w:tcPr>
            <w:tcW w:w="463" w:type="dxa"/>
            <w:vMerge w:val="restart"/>
            <w:tcBorders>
              <w:top w:val="nil"/>
              <w:left w:val="single" w:color="auto" w:sz="4" w:space="0"/>
              <w:right w:val="single" w:color="auto" w:sz="4" w:space="0"/>
            </w:tcBorders>
            <w:vAlign w:val="center"/>
          </w:tcPr>
          <w:p>
            <w:pPr>
              <w:pStyle w:val="7"/>
              <w:widowControl/>
              <w:jc w:val="center"/>
              <w:rPr>
                <w:rFonts w:ascii="宋体" w:hAnsi="宋体" w:cs="Times New Roman"/>
                <w:kern w:val="0"/>
              </w:rPr>
            </w:pPr>
            <w:r>
              <w:rPr>
                <w:rFonts w:hint="eastAsia" w:ascii="宋体" w:hAnsi="宋体"/>
              </w:rPr>
              <w:t>供应楼</w:t>
            </w: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1</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接地装置</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center"/>
              <w:rPr>
                <w:rFonts w:ascii="宋体" w:hAnsi="宋体"/>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2</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引下线</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8</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center"/>
              <w:rPr>
                <w:rFonts w:ascii="宋体" w:hAnsi="宋体"/>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lang w:val="en-US" w:eastAsia="zh-CN"/>
              </w:rPr>
              <w:t>网格</w:t>
            </w:r>
          </w:p>
        </w:tc>
        <w:tc>
          <w:tcPr>
            <w:tcW w:w="1357" w:type="dxa"/>
            <w:tcBorders>
              <w:top w:val="nil"/>
              <w:left w:val="nil"/>
              <w:bottom w:val="single" w:color="auto" w:sz="4" w:space="0"/>
              <w:right w:val="single" w:color="auto" w:sz="4" w:space="0"/>
            </w:tcBorders>
            <w:vAlign w:val="center"/>
          </w:tcPr>
          <w:p>
            <w:pPr>
              <w:pStyle w:val="7"/>
              <w:widowControl/>
              <w:rPr>
                <w:rFonts w:hint="default" w:ascii="宋体" w:hAnsi="宋体" w:eastAsia="宋体" w:cs="仿宋_GB2312"/>
                <w:kern w:val="0"/>
                <w:lang w:val="en-US" w:eastAsia="zh-CN"/>
              </w:rPr>
            </w:pPr>
            <w:r>
              <w:rPr>
                <w:rFonts w:hint="eastAsia" w:ascii="宋体" w:hAnsi="宋体" w:cs="仿宋_GB2312"/>
                <w:kern w:val="0"/>
                <w:lang w:val="en-US" w:eastAsia="zh-CN"/>
              </w:rPr>
              <w:t>12</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center"/>
              <w:rPr>
                <w:rFonts w:ascii="宋体" w:hAnsi="宋体"/>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Times New Roman"/>
                <w:kern w:val="0"/>
                <w:lang w:val="en-US" w:eastAsia="zh-CN"/>
              </w:rPr>
              <w:t>避雷带</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center"/>
              <w:rPr>
                <w:rFonts w:ascii="宋体" w:hAnsi="宋体"/>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ascii="宋体" w:hAnsi="宋体" w:cs="Times New Roman"/>
                <w:kern w:val="0"/>
              </w:rPr>
              <w:t>接闪杆</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center"/>
              <w:rPr>
                <w:rFonts w:ascii="宋体" w:hAnsi="宋体"/>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天面金属物</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5</w:t>
            </w:r>
          </w:p>
        </w:tc>
      </w:tr>
      <w:tr>
        <w:tblPrEx>
          <w:tblCellMar>
            <w:top w:w="0" w:type="dxa"/>
            <w:left w:w="108" w:type="dxa"/>
            <w:bottom w:w="0" w:type="dxa"/>
            <w:right w:w="108" w:type="dxa"/>
          </w:tblCellMar>
        </w:tblPrEx>
        <w:trPr>
          <w:trHeight w:val="288" w:hRule="atLeast"/>
          <w:jc w:val="center"/>
        </w:trPr>
        <w:tc>
          <w:tcPr>
            <w:tcW w:w="612" w:type="dxa"/>
            <w:vMerge w:val="continue"/>
            <w:tcBorders>
              <w:left w:val="single" w:color="auto" w:sz="4" w:space="0"/>
              <w:bottom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bottom w:val="single" w:color="auto" w:sz="4" w:space="0"/>
              <w:right w:val="single" w:color="auto" w:sz="4" w:space="0"/>
            </w:tcBorders>
            <w:vAlign w:val="center"/>
          </w:tcPr>
          <w:p>
            <w:pPr>
              <w:pStyle w:val="7"/>
              <w:widowControl/>
              <w:jc w:val="center"/>
              <w:rPr>
                <w:rFonts w:ascii="宋体" w:hAnsi="宋体" w:cs="Times New Roman"/>
                <w:kern w:val="0"/>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总配电SPD</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restart"/>
            <w:tcBorders>
              <w:top w:val="single" w:color="auto" w:sz="4" w:space="0"/>
              <w:left w:val="single" w:color="auto" w:sz="4" w:space="0"/>
              <w:right w:val="single" w:color="auto" w:sz="4" w:space="0"/>
            </w:tcBorders>
            <w:vAlign w:val="center"/>
          </w:tcPr>
          <w:p>
            <w:pPr>
              <w:pStyle w:val="7"/>
              <w:widowControl/>
              <w:jc w:val="left"/>
              <w:rPr>
                <w:rFonts w:ascii="宋体" w:hAnsi="宋体" w:cs="Times New Roman"/>
                <w:kern w:val="0"/>
              </w:rPr>
            </w:pPr>
            <w:r>
              <w:rPr>
                <w:rFonts w:ascii="宋体" w:hAnsi="宋体" w:cs="Times New Roman"/>
                <w:kern w:val="0"/>
              </w:rPr>
              <w:t>八</w:t>
            </w:r>
          </w:p>
        </w:tc>
        <w:tc>
          <w:tcPr>
            <w:tcW w:w="463" w:type="dxa"/>
            <w:vMerge w:val="restart"/>
            <w:tcBorders>
              <w:top w:val="single" w:color="auto" w:sz="4" w:space="0"/>
              <w:left w:val="single" w:color="auto" w:sz="4" w:space="0"/>
              <w:right w:val="single" w:color="auto" w:sz="4" w:space="0"/>
            </w:tcBorders>
            <w:vAlign w:val="center"/>
          </w:tcPr>
          <w:p>
            <w:pPr>
              <w:pStyle w:val="7"/>
              <w:widowControl/>
              <w:jc w:val="center"/>
              <w:rPr>
                <w:rFonts w:ascii="宋体" w:hAnsi="宋体"/>
              </w:rPr>
            </w:pPr>
            <w:r>
              <w:rPr>
                <w:rFonts w:ascii="宋体" w:hAnsi="宋体"/>
              </w:rPr>
              <w:t>饭堂</w:t>
            </w:r>
          </w:p>
        </w:tc>
        <w:tc>
          <w:tcPr>
            <w:tcW w:w="614" w:type="dxa"/>
            <w:tcBorders>
              <w:top w:val="single" w:color="auto" w:sz="4" w:space="0"/>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1</w:t>
            </w:r>
          </w:p>
        </w:tc>
        <w:tc>
          <w:tcPr>
            <w:tcW w:w="3477" w:type="dxa"/>
            <w:tcBorders>
              <w:top w:val="single" w:color="auto" w:sz="4" w:space="0"/>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接地装置</w:t>
            </w:r>
          </w:p>
        </w:tc>
        <w:tc>
          <w:tcPr>
            <w:tcW w:w="1357" w:type="dxa"/>
            <w:tcBorders>
              <w:top w:val="single" w:color="auto" w:sz="4" w:space="0"/>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left"/>
              <w:rPr>
                <w:rFonts w:ascii="宋体" w:hAnsi="宋体"/>
              </w:rPr>
            </w:pPr>
          </w:p>
        </w:tc>
        <w:tc>
          <w:tcPr>
            <w:tcW w:w="614" w:type="dxa"/>
            <w:tcBorders>
              <w:top w:val="single" w:color="auto" w:sz="4" w:space="0"/>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2</w:t>
            </w:r>
          </w:p>
        </w:tc>
        <w:tc>
          <w:tcPr>
            <w:tcW w:w="3477" w:type="dxa"/>
            <w:tcBorders>
              <w:top w:val="single" w:color="auto" w:sz="4" w:space="0"/>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引下线</w:t>
            </w:r>
          </w:p>
        </w:tc>
        <w:tc>
          <w:tcPr>
            <w:tcW w:w="1357" w:type="dxa"/>
            <w:tcBorders>
              <w:top w:val="single" w:color="auto" w:sz="4" w:space="0"/>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8</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lang w:val="en-US" w:eastAsia="zh-CN"/>
              </w:rPr>
              <w:t>网格</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8</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Times New Roman"/>
                <w:kern w:val="0"/>
                <w:lang w:val="en-US" w:eastAsia="zh-CN"/>
              </w:rPr>
              <w:t>避雷带</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ascii="宋体" w:hAnsi="宋体" w:cs="Times New Roman"/>
                <w:kern w:val="0"/>
              </w:rPr>
              <w:t>接闪杆</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天面金属物</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5</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bottom w:val="single" w:color="000000"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bottom w:val="single" w:color="auto" w:sz="4" w:space="0"/>
              <w:right w:val="single" w:color="auto" w:sz="4" w:space="0"/>
            </w:tcBorders>
            <w:vAlign w:val="center"/>
          </w:tcPr>
          <w:p>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总配电SPD</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restart"/>
            <w:tcBorders>
              <w:left w:val="single" w:color="auto" w:sz="4" w:space="0"/>
              <w:right w:val="single" w:color="auto" w:sz="4" w:space="0"/>
            </w:tcBorders>
            <w:vAlign w:val="center"/>
          </w:tcPr>
          <w:p>
            <w:pPr>
              <w:pStyle w:val="7"/>
              <w:widowControl/>
              <w:jc w:val="left"/>
              <w:rPr>
                <w:rFonts w:ascii="宋体" w:hAnsi="宋体" w:cs="Times New Roman"/>
                <w:kern w:val="0"/>
              </w:rPr>
            </w:pPr>
            <w:r>
              <w:rPr>
                <w:rFonts w:ascii="宋体" w:hAnsi="宋体" w:cs="Times New Roman"/>
                <w:kern w:val="0"/>
              </w:rPr>
              <w:t>九</w:t>
            </w:r>
          </w:p>
        </w:tc>
        <w:tc>
          <w:tcPr>
            <w:tcW w:w="463" w:type="dxa"/>
            <w:vMerge w:val="restart"/>
            <w:tcBorders>
              <w:left w:val="single" w:color="auto" w:sz="4" w:space="0"/>
              <w:right w:val="single" w:color="auto" w:sz="4" w:space="0"/>
            </w:tcBorders>
            <w:vAlign w:val="center"/>
          </w:tcPr>
          <w:p>
            <w:pPr>
              <w:pStyle w:val="7"/>
              <w:widowControl/>
              <w:jc w:val="center"/>
              <w:rPr>
                <w:rFonts w:ascii="宋体" w:hAnsi="宋体"/>
              </w:rPr>
            </w:pPr>
            <w:r>
              <w:rPr>
                <w:rFonts w:ascii="宋体" w:hAnsi="宋体"/>
              </w:rPr>
              <w:t>高压</w:t>
            </w:r>
          </w:p>
          <w:p>
            <w:pPr>
              <w:pStyle w:val="7"/>
              <w:widowControl/>
              <w:jc w:val="center"/>
              <w:rPr>
                <w:rFonts w:ascii="宋体" w:hAnsi="宋体"/>
              </w:rPr>
            </w:pPr>
            <w:r>
              <w:rPr>
                <w:rFonts w:ascii="宋体" w:hAnsi="宋体"/>
              </w:rPr>
              <w:t>氧舱</w:t>
            </w: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1</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接地装置</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1</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2</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引下线</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4</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3</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lang w:val="en-US" w:eastAsia="zh-CN"/>
              </w:rPr>
              <w:t>网格</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3</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4</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Times New Roman"/>
                <w:kern w:val="0"/>
                <w:lang w:val="en-US" w:eastAsia="zh-CN"/>
              </w:rPr>
              <w:t>避雷带</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Times New Roman"/>
                <w:kern w:val="0"/>
                <w:lang w:val="en-US" w:eastAsia="zh-CN"/>
              </w:rPr>
            </w:pPr>
            <w:r>
              <w:rPr>
                <w:rFonts w:hint="eastAsia" w:ascii="宋体" w:hAnsi="宋体" w:cs="Times New Roman"/>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5</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ascii="宋体" w:hAnsi="宋体" w:cs="Times New Roman"/>
                <w:kern w:val="0"/>
              </w:rPr>
              <w:t>接闪杆</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right w:val="single" w:color="auto" w:sz="4" w:space="0"/>
            </w:tcBorders>
            <w:vAlign w:val="center"/>
          </w:tcPr>
          <w:p>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6</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天面金属物</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tblPrEx>
          <w:tblCellMar>
            <w:top w:w="0" w:type="dxa"/>
            <w:left w:w="108" w:type="dxa"/>
            <w:bottom w:w="0" w:type="dxa"/>
            <w:right w:w="108" w:type="dxa"/>
          </w:tblCellMar>
        </w:tblPrEx>
        <w:trPr>
          <w:trHeight w:val="57" w:hRule="atLeast"/>
          <w:jc w:val="center"/>
        </w:trPr>
        <w:tc>
          <w:tcPr>
            <w:tcW w:w="612" w:type="dxa"/>
            <w:vMerge w:val="continue"/>
            <w:tcBorders>
              <w:left w:val="single" w:color="auto" w:sz="4" w:space="0"/>
              <w:bottom w:val="single" w:color="000000" w:sz="4" w:space="0"/>
              <w:right w:val="single" w:color="auto" w:sz="4" w:space="0"/>
            </w:tcBorders>
            <w:vAlign w:val="center"/>
          </w:tcPr>
          <w:p>
            <w:pPr>
              <w:pStyle w:val="7"/>
              <w:widowControl/>
              <w:jc w:val="left"/>
              <w:rPr>
                <w:rFonts w:ascii="宋体" w:hAnsi="宋体" w:cs="Times New Roman"/>
                <w:kern w:val="0"/>
              </w:rPr>
            </w:pPr>
          </w:p>
        </w:tc>
        <w:tc>
          <w:tcPr>
            <w:tcW w:w="463" w:type="dxa"/>
            <w:vMerge w:val="continue"/>
            <w:tcBorders>
              <w:left w:val="single" w:color="auto" w:sz="4" w:space="0"/>
              <w:bottom w:val="single" w:color="auto" w:sz="4" w:space="0"/>
              <w:right w:val="single" w:color="auto" w:sz="4" w:space="0"/>
            </w:tcBorders>
            <w:vAlign w:val="center"/>
          </w:tcPr>
          <w:p>
            <w:pPr>
              <w:pStyle w:val="7"/>
              <w:widowControl/>
              <w:jc w:val="left"/>
              <w:rPr>
                <w:rFonts w:ascii="宋体" w:hAnsi="宋体"/>
              </w:rPr>
            </w:pPr>
          </w:p>
        </w:tc>
        <w:tc>
          <w:tcPr>
            <w:tcW w:w="614" w:type="dxa"/>
            <w:tcBorders>
              <w:top w:val="nil"/>
              <w:left w:val="nil"/>
              <w:bottom w:val="single" w:color="auto" w:sz="4" w:space="0"/>
              <w:right w:val="single" w:color="auto" w:sz="4" w:space="0"/>
            </w:tcBorders>
            <w:vAlign w:val="center"/>
          </w:tcPr>
          <w:p>
            <w:pPr>
              <w:pStyle w:val="7"/>
              <w:widowControl/>
              <w:jc w:val="center"/>
              <w:rPr>
                <w:rFonts w:ascii="宋体" w:hAnsi="宋体" w:cs="仿宋_GB2312"/>
                <w:kern w:val="0"/>
              </w:rPr>
            </w:pPr>
            <w:r>
              <w:rPr>
                <w:rFonts w:ascii="宋体" w:hAnsi="宋体" w:cs="仿宋_GB2312"/>
                <w:kern w:val="0"/>
              </w:rPr>
              <w:t>7</w:t>
            </w:r>
          </w:p>
        </w:tc>
        <w:tc>
          <w:tcPr>
            <w:tcW w:w="3477" w:type="dxa"/>
            <w:tcBorders>
              <w:top w:val="nil"/>
              <w:left w:val="nil"/>
              <w:bottom w:val="single" w:color="auto" w:sz="4" w:space="0"/>
              <w:right w:val="single" w:color="auto" w:sz="4" w:space="0"/>
            </w:tcBorders>
            <w:vAlign w:val="center"/>
          </w:tcPr>
          <w:p>
            <w:pPr>
              <w:pStyle w:val="7"/>
              <w:widowControl/>
              <w:rPr>
                <w:rFonts w:ascii="宋体" w:hAnsi="宋体" w:cs="Times New Roman"/>
                <w:kern w:val="0"/>
              </w:rPr>
            </w:pPr>
            <w:r>
              <w:rPr>
                <w:rFonts w:hint="eastAsia" w:ascii="宋体" w:hAnsi="宋体" w:cs="仿宋_GB2312"/>
                <w:kern w:val="0"/>
              </w:rPr>
              <w:t>总配电SPD</w:t>
            </w:r>
          </w:p>
        </w:tc>
        <w:tc>
          <w:tcPr>
            <w:tcW w:w="1357" w:type="dxa"/>
            <w:tcBorders>
              <w:top w:val="nil"/>
              <w:left w:val="nil"/>
              <w:bottom w:val="single" w:color="auto" w:sz="4" w:space="0"/>
              <w:right w:val="single" w:color="auto" w:sz="4" w:space="0"/>
            </w:tcBorders>
            <w:vAlign w:val="center"/>
          </w:tcPr>
          <w:p>
            <w:pPr>
              <w:pStyle w:val="7"/>
              <w:widowControl/>
              <w:rPr>
                <w:rFonts w:hint="eastAsia" w:ascii="宋体" w:hAnsi="宋体" w:eastAsia="宋体" w:cs="仿宋_GB2312"/>
                <w:kern w:val="0"/>
                <w:lang w:val="en-US" w:eastAsia="zh-CN"/>
              </w:rPr>
            </w:pPr>
            <w:r>
              <w:rPr>
                <w:rFonts w:hint="eastAsia" w:ascii="宋体" w:hAnsi="宋体" w:cs="仿宋_GB2312"/>
                <w:kern w:val="0"/>
                <w:lang w:val="en-US" w:eastAsia="zh-CN"/>
              </w:rPr>
              <w:t>2</w:t>
            </w:r>
          </w:p>
        </w:tc>
      </w:tr>
      <w:tr>
        <w:tblPrEx>
          <w:tblCellMar>
            <w:top w:w="0" w:type="dxa"/>
            <w:left w:w="108" w:type="dxa"/>
            <w:bottom w:w="0" w:type="dxa"/>
            <w:right w:w="108" w:type="dxa"/>
          </w:tblCellMar>
        </w:tblPrEx>
        <w:trPr>
          <w:trHeight w:val="57" w:hRule="atLeast"/>
          <w:jc w:val="center"/>
        </w:trPr>
        <w:tc>
          <w:tcPr>
            <w:tcW w:w="6523" w:type="dxa"/>
            <w:gridSpan w:val="5"/>
            <w:tcBorders>
              <w:top w:val="single" w:color="auto" w:sz="4" w:space="0"/>
              <w:left w:val="single" w:color="auto" w:sz="4" w:space="0"/>
              <w:bottom w:val="single" w:color="auto" w:sz="4" w:space="0"/>
              <w:right w:val="single" w:color="000000" w:sz="4" w:space="0"/>
            </w:tcBorders>
            <w:vAlign w:val="center"/>
          </w:tcPr>
          <w:p>
            <w:pPr>
              <w:pStyle w:val="7"/>
              <w:widowControl/>
              <w:jc w:val="left"/>
              <w:rPr>
                <w:rFonts w:hint="eastAsia" w:ascii="宋体" w:hAnsi="宋体" w:cs="仿宋_GB2312"/>
                <w:kern w:val="0"/>
              </w:rPr>
            </w:pPr>
            <w:r>
              <w:rPr>
                <w:rFonts w:hint="eastAsia" w:ascii="宋体" w:hAnsi="宋体" w:cs="仿宋_GB2312"/>
                <w:kern w:val="0"/>
              </w:rPr>
              <w:t>说明：具体的以实际建（构）筑物的雷电防护装置为准。</w:t>
            </w:r>
            <w:r>
              <w:rPr>
                <w:rFonts w:hint="eastAsia" w:ascii="宋体" w:hAnsi="宋体" w:cs="仿宋_GB2312"/>
                <w:kern w:val="0"/>
                <w:lang w:val="en-US" w:eastAsia="zh-CN"/>
              </w:rPr>
              <w:t>测点数（约500个）</w:t>
            </w:r>
          </w:p>
        </w:tc>
      </w:tr>
    </w:tbl>
    <w:p>
      <w:pPr>
        <w:spacing w:line="460" w:lineRule="exact"/>
        <w:ind w:firstLine="420" w:firstLineChars="200"/>
        <w:rPr>
          <w:rFonts w:ascii="宋体" w:hAnsi="宋体" w:cs="宋体"/>
        </w:rPr>
      </w:pPr>
      <w:r>
        <w:rPr>
          <w:rFonts w:hint="eastAsia" w:ascii="宋体" w:hAnsi="宋体" w:cs="宋体"/>
        </w:rPr>
        <w:t>3、检测开展要求：</w:t>
      </w:r>
    </w:p>
    <w:p>
      <w:pPr>
        <w:numPr>
          <w:ilvl w:val="8"/>
          <w:numId w:val="3"/>
        </w:numPr>
        <w:snapToGrid w:val="0"/>
        <w:spacing w:line="460" w:lineRule="exact"/>
        <w:ind w:left="851" w:hanging="567"/>
        <w:rPr>
          <w:rFonts w:ascii="宋体"/>
          <w:szCs w:val="21"/>
        </w:rPr>
      </w:pPr>
      <w:r>
        <w:rPr>
          <w:rFonts w:hint="eastAsia" w:ascii="宋体"/>
          <w:szCs w:val="21"/>
        </w:rPr>
        <w:t>★成交供应商必须按采购人要求对照以上项目清单对每一个项目进行检测，并如实记录检测结果，一旦发现遗漏、弄虚作假的情况，所导致的一切后果及责任由成交供应商自行承担。</w:t>
      </w:r>
    </w:p>
    <w:p>
      <w:pPr>
        <w:numPr>
          <w:ilvl w:val="8"/>
          <w:numId w:val="3"/>
        </w:numPr>
        <w:snapToGrid w:val="0"/>
        <w:spacing w:line="460" w:lineRule="exact"/>
        <w:ind w:left="851" w:hanging="567"/>
        <w:rPr>
          <w:rFonts w:ascii="宋体"/>
          <w:szCs w:val="21"/>
        </w:rPr>
      </w:pPr>
      <w:r>
        <w:rPr>
          <w:rFonts w:hint="eastAsia" w:ascii="宋体"/>
          <w:szCs w:val="21"/>
        </w:rPr>
        <w:t>成交供应商在开展检测工作时，必须配备专职安全员，建立健全安全制度，项目负责人必须到现场巡查和监管，做好工作人员的安全措施，确保现场、员工和第三者的安全。</w:t>
      </w:r>
    </w:p>
    <w:p>
      <w:pPr>
        <w:numPr>
          <w:ilvl w:val="8"/>
          <w:numId w:val="3"/>
        </w:numPr>
        <w:snapToGrid w:val="0"/>
        <w:spacing w:line="460" w:lineRule="exact"/>
        <w:ind w:left="851" w:hanging="567"/>
        <w:rPr>
          <w:rFonts w:ascii="宋体"/>
          <w:szCs w:val="21"/>
        </w:rPr>
      </w:pPr>
      <w:r>
        <w:rPr>
          <w:rFonts w:hint="eastAsia" w:ascii="宋体"/>
          <w:szCs w:val="21"/>
        </w:rPr>
        <w:t>★成交供应商应为所派工作人员办理医疗及工伤社会保险，并根据需要为从事高度危险工作的人员配置安全设施及购买人身意外伤害保险。成交供应商及其人员在开展工作过程中发生的所有意外和责任均由成交供应商负责。</w:t>
      </w:r>
    </w:p>
    <w:p>
      <w:pPr>
        <w:numPr>
          <w:ilvl w:val="8"/>
          <w:numId w:val="3"/>
        </w:numPr>
        <w:snapToGrid w:val="0"/>
        <w:spacing w:line="460" w:lineRule="exact"/>
        <w:ind w:left="851" w:hanging="567"/>
        <w:rPr>
          <w:rFonts w:ascii="宋体"/>
          <w:szCs w:val="21"/>
        </w:rPr>
      </w:pPr>
      <w:r>
        <w:rPr>
          <w:rFonts w:hint="eastAsia" w:ascii="宋体"/>
          <w:szCs w:val="21"/>
        </w:rPr>
        <w:t>本项目涉及的保密数据和资料包括检测资料、测量控制资料、地形图资料、作业过程资料和采购人在项目过程中确认的需要保密的其他信息及资料，仅限于成交供应商在本项目在合同期内部使用，只能用于本项目，不得用于其它用途，不得向第三方提供。因成交供应商原因造成泄密事故的，由成交供应商承担所有责任。</w:t>
      </w:r>
    </w:p>
    <w:p>
      <w:pPr>
        <w:spacing w:line="460" w:lineRule="exact"/>
        <w:rPr>
          <w:rFonts w:ascii="宋体" w:hAnsi="宋体" w:cs="宋体"/>
        </w:rPr>
      </w:pPr>
      <w:r>
        <w:rPr>
          <w:rFonts w:hint="eastAsia" w:ascii="宋体" w:hAnsi="宋体" w:cs="宋体"/>
        </w:rPr>
        <w:t>★4、检测报告要求：</w:t>
      </w:r>
    </w:p>
    <w:p>
      <w:pPr>
        <w:numPr>
          <w:ilvl w:val="2"/>
          <w:numId w:val="4"/>
        </w:numPr>
        <w:snapToGrid w:val="0"/>
        <w:spacing w:line="460" w:lineRule="exact"/>
        <w:ind w:left="993" w:hanging="567"/>
        <w:rPr>
          <w:rFonts w:ascii="宋体" w:hAnsi="宋体"/>
          <w:color w:val="000000"/>
          <w:szCs w:val="21"/>
          <w:highlight w:val="none"/>
        </w:rPr>
      </w:pPr>
      <w:r>
        <w:rPr>
          <w:rFonts w:hint="eastAsia" w:ascii="宋体" w:hAnsi="宋体"/>
          <w:color w:val="000000"/>
          <w:szCs w:val="21"/>
        </w:rPr>
        <w:t>按要求完成对检测范围内的雷电防护装置检查测试后，应根据检测的合格结果，如实提交《广东省雷电防护装置检测报告》给采</w:t>
      </w:r>
      <w:r>
        <w:rPr>
          <w:rFonts w:hint="eastAsia" w:ascii="宋体" w:hAnsi="宋体"/>
          <w:color w:val="000000"/>
          <w:szCs w:val="21"/>
          <w:highlight w:val="none"/>
        </w:rPr>
        <w:t>购人，检测报告</w:t>
      </w:r>
      <w:r>
        <w:rPr>
          <w:rFonts w:hint="eastAsia" w:ascii="宋体" w:hAnsi="宋体"/>
          <w:color w:val="000000"/>
          <w:szCs w:val="21"/>
          <w:highlight w:val="none"/>
          <w:lang w:val="en-US" w:eastAsia="zh-CN"/>
        </w:rPr>
        <w:t>一式叁份</w:t>
      </w:r>
      <w:r>
        <w:rPr>
          <w:rFonts w:hint="eastAsia" w:ascii="宋体" w:hAnsi="宋体"/>
          <w:color w:val="000000"/>
          <w:szCs w:val="21"/>
          <w:highlight w:val="none"/>
        </w:rPr>
        <w:t>。</w:t>
      </w:r>
    </w:p>
    <w:p>
      <w:pPr>
        <w:numPr>
          <w:ilvl w:val="2"/>
          <w:numId w:val="4"/>
        </w:numPr>
        <w:snapToGrid w:val="0"/>
        <w:spacing w:line="460" w:lineRule="exact"/>
        <w:ind w:left="993" w:hanging="567"/>
        <w:rPr>
          <w:rFonts w:ascii="宋体" w:hAnsi="宋体"/>
          <w:color w:val="000000"/>
          <w:szCs w:val="21"/>
          <w:highlight w:val="none"/>
        </w:rPr>
      </w:pPr>
      <w:r>
        <w:rPr>
          <w:rFonts w:hint="eastAsia" w:ascii="宋体"/>
          <w:szCs w:val="21"/>
          <w:highlight w:val="none"/>
        </w:rPr>
        <w:t>如按要求</w:t>
      </w:r>
      <w:r>
        <w:rPr>
          <w:rFonts w:hint="eastAsia" w:ascii="宋体" w:hAnsi="宋体"/>
          <w:color w:val="000000"/>
          <w:szCs w:val="21"/>
          <w:highlight w:val="none"/>
        </w:rPr>
        <w:t>完成对检测范围内的雷电防护装置检查测试后，所检测的结果为不合格，应如实提交《整改意见书》给采购人。</w:t>
      </w:r>
      <w:r>
        <w:rPr>
          <w:rFonts w:hint="eastAsia" w:ascii="宋体" w:hAnsi="宋体"/>
          <w:color w:val="000000"/>
          <w:szCs w:val="21"/>
          <w:highlight w:val="none"/>
          <w:lang w:val="en-US" w:eastAsia="zh-CN"/>
        </w:rPr>
        <w:t>采购人整改完毕后，由成交供应商再次进行复测，自进场后</w:t>
      </w:r>
      <w:r>
        <w:rPr>
          <w:rFonts w:hint="eastAsia" w:ascii="宋体" w:hAnsi="宋体"/>
          <w:color w:val="000000"/>
          <w:szCs w:val="21"/>
          <w:highlight w:val="none"/>
          <w:u w:val="single"/>
          <w:lang w:val="en-US" w:eastAsia="zh-CN"/>
        </w:rPr>
        <w:t>5</w:t>
      </w:r>
      <w:r>
        <w:rPr>
          <w:rFonts w:hint="eastAsia" w:ascii="宋体" w:hAnsi="宋体"/>
          <w:color w:val="000000"/>
          <w:szCs w:val="21"/>
          <w:highlight w:val="none"/>
          <w:lang w:val="en-US" w:eastAsia="zh-CN"/>
        </w:rPr>
        <w:t>个日历天内完成复测并出具合格检测报告一式叁份。</w:t>
      </w:r>
    </w:p>
    <w:p>
      <w:pPr>
        <w:pStyle w:val="8"/>
        <w:snapToGrid w:val="0"/>
        <w:spacing w:line="360" w:lineRule="auto"/>
        <w:ind w:firstLine="0" w:firstLineChars="0"/>
        <w:rPr>
          <w:color w:val="000000"/>
          <w:szCs w:val="21"/>
        </w:rPr>
      </w:pPr>
      <w:r>
        <w:rPr>
          <w:rFonts w:hint="eastAsia" w:ascii="宋体" w:hAnsi="宋体"/>
          <w:b/>
          <w:color w:val="000000" w:themeColor="text1"/>
          <w:szCs w:val="21"/>
          <w:highlight w:val="none"/>
          <w14:textFill>
            <w14:solidFill>
              <w14:schemeClr w14:val="tx1"/>
            </w14:solidFill>
          </w14:textFill>
        </w:rPr>
        <w:t>六、报价要</w:t>
      </w:r>
      <w:r>
        <w:rPr>
          <w:rFonts w:hint="eastAsia" w:ascii="宋体" w:hAnsi="宋体"/>
          <w:b/>
          <w:color w:val="000000" w:themeColor="text1"/>
          <w:szCs w:val="21"/>
          <w14:textFill>
            <w14:solidFill>
              <w14:schemeClr w14:val="tx1"/>
            </w14:solidFill>
          </w14:textFill>
        </w:rPr>
        <w:t>求</w:t>
      </w:r>
    </w:p>
    <w:p>
      <w:pPr>
        <w:spacing w:line="460" w:lineRule="exact"/>
        <w:ind w:firstLine="420" w:firstLineChars="200"/>
        <w:rPr>
          <w:color w:val="000000"/>
          <w:szCs w:val="21"/>
        </w:rPr>
      </w:pPr>
      <w:r>
        <w:rPr>
          <w:rFonts w:hint="eastAsia"/>
          <w:color w:val="000000"/>
          <w:szCs w:val="21"/>
        </w:rPr>
        <w:t>响应供应商的报价应包含本项目所需的一切费用，包括（但不限于）：工作人员工资、食宿、福利、服装、通信工具、社保、医疗、</w:t>
      </w:r>
      <w:r>
        <w:rPr>
          <w:rFonts w:hint="eastAsia"/>
          <w:bCs/>
          <w:color w:val="000000"/>
          <w:szCs w:val="21"/>
          <w:lang w:val="en-GB"/>
        </w:rPr>
        <w:t>运输、检测、报告编制、送审、报告输出、数据库录入、数据汇总、总结编写</w:t>
      </w:r>
      <w:r>
        <w:rPr>
          <w:rFonts w:hint="eastAsia"/>
          <w:color w:val="000000"/>
          <w:szCs w:val="21"/>
        </w:rPr>
        <w:t>及完成该项目所须工具、可预料的风险和措施、税费等所有费用，采购人不再另行支付。</w:t>
      </w:r>
    </w:p>
    <w:p>
      <w:pPr>
        <w:pStyle w:val="8"/>
        <w:snapToGrid w:val="0"/>
        <w:spacing w:line="360" w:lineRule="auto"/>
        <w:ind w:firstLine="0" w:firstLineChars="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七、服务时间</w:t>
      </w:r>
    </w:p>
    <w:p>
      <w:pPr>
        <w:snapToGrid w:val="0"/>
        <w:spacing w:line="360" w:lineRule="auto"/>
        <w:ind w:firstLine="210" w:firstLineChars="100"/>
        <w:rPr>
          <w:rFonts w:ascii="宋体" w:hAnsi="宋体" w:eastAsia="宋体" w:cs="Times New Roman"/>
          <w:color w:val="000000" w:themeColor="text1"/>
          <w14:textFill>
            <w14:solidFill>
              <w14:schemeClr w14:val="tx1"/>
            </w14:solidFill>
          </w14:textFill>
        </w:rPr>
      </w:pPr>
      <w:r>
        <w:rPr>
          <w:rFonts w:hint="eastAsia" w:ascii="宋体" w:hAnsi="宋体" w:cs="宋体"/>
        </w:rPr>
        <w:t>★</w:t>
      </w:r>
      <w:r>
        <w:rPr>
          <w:rFonts w:hint="eastAsia" w:ascii="宋体" w:hAnsi="宋体"/>
          <w:color w:val="000000" w:themeColor="text1"/>
          <w14:textFill>
            <w14:solidFill>
              <w14:schemeClr w14:val="tx1"/>
            </w14:solidFill>
          </w14:textFill>
        </w:rPr>
        <w:t>1、成交供应商</w:t>
      </w:r>
      <w:r>
        <w:rPr>
          <w:rFonts w:hint="eastAsia" w:ascii="宋体" w:hAnsi="宋体" w:eastAsia="宋体" w:cs="Times New Roman"/>
          <w:color w:val="000000" w:themeColor="text1"/>
          <w14:textFill>
            <w14:solidFill>
              <w14:schemeClr w14:val="tx1"/>
            </w14:solidFill>
          </w14:textFill>
        </w:rPr>
        <w:t>须在签订合同</w:t>
      </w:r>
      <w:r>
        <w:rPr>
          <w:rFonts w:hint="eastAsia" w:ascii="宋体" w:hAnsi="宋体" w:eastAsia="宋体" w:cs="Times New Roman"/>
          <w:color w:val="000000" w:themeColor="text1"/>
          <w:lang w:val="en-US" w:eastAsia="zh-CN"/>
          <w14:textFill>
            <w14:solidFill>
              <w14:schemeClr w14:val="tx1"/>
            </w14:solidFill>
          </w14:textFill>
        </w:rPr>
        <w:t>后次日立即进场</w:t>
      </w:r>
      <w:r>
        <w:rPr>
          <w:rFonts w:hint="eastAsia" w:ascii="宋体" w:hAnsi="宋体" w:eastAsia="宋体" w:cs="Times New Roman"/>
          <w:color w:val="000000" w:themeColor="text1"/>
          <w14:textFill>
            <w14:solidFill>
              <w14:schemeClr w14:val="tx1"/>
            </w14:solidFill>
          </w14:textFill>
        </w:rPr>
        <w:t>开展</w:t>
      </w:r>
      <w:r>
        <w:rPr>
          <w:rFonts w:hint="eastAsia" w:ascii="宋体" w:hAnsi="宋体" w:eastAsia="宋体"/>
          <w:color w:val="000000" w:themeColor="text1"/>
          <w14:textFill>
            <w14:solidFill>
              <w14:schemeClr w14:val="tx1"/>
            </w14:solidFill>
          </w14:textFill>
        </w:rPr>
        <w:t>检测</w:t>
      </w:r>
      <w:r>
        <w:rPr>
          <w:rFonts w:hint="eastAsia" w:ascii="宋体" w:hAnsi="宋体" w:eastAsia="宋体" w:cs="Times New Roman"/>
          <w:color w:val="000000" w:themeColor="text1"/>
          <w14:textFill>
            <w14:solidFill>
              <w14:schemeClr w14:val="tx1"/>
            </w14:solidFill>
          </w14:textFill>
        </w:rPr>
        <w:t>工作</w:t>
      </w:r>
      <w:r>
        <w:rPr>
          <w:rFonts w:hint="eastAsia" w:ascii="宋体" w:hAnsi="宋体"/>
          <w:color w:val="000000" w:themeColor="text1"/>
          <w14:textFill>
            <w14:solidFill>
              <w14:schemeClr w14:val="tx1"/>
            </w14:solidFill>
          </w14:textFill>
        </w:rPr>
        <w:t>，不得无故拖延，否则采购人有权另请第三方进行检测，所产生的费用及一切经济损失由供应商</w:t>
      </w:r>
      <w:r>
        <w:rPr>
          <w:rFonts w:hint="eastAsia" w:ascii="宋体" w:hAnsi="宋体" w:eastAsia="宋体" w:cs="Times New Roman"/>
          <w:color w:val="000000" w:themeColor="text1"/>
          <w14:textFill>
            <w14:solidFill>
              <w14:schemeClr w14:val="tx1"/>
            </w14:solidFill>
          </w14:textFill>
        </w:rPr>
        <w:t>承担。</w:t>
      </w:r>
    </w:p>
    <w:p>
      <w:pPr>
        <w:snapToGrid w:val="0"/>
        <w:spacing w:line="360" w:lineRule="auto"/>
        <w:ind w:firstLine="210" w:firstLineChars="100"/>
        <w:rPr>
          <w:rFonts w:ascii="宋体" w:hAnsi="宋体" w:eastAsia="宋体" w:cs="Times New Roman"/>
          <w:color w:val="000000" w:themeColor="text1"/>
          <w14:textFill>
            <w14:solidFill>
              <w14:schemeClr w14:val="tx1"/>
            </w14:solidFill>
          </w14:textFill>
        </w:rPr>
      </w:pPr>
      <w:r>
        <w:rPr>
          <w:rFonts w:hint="eastAsia" w:ascii="宋体" w:hAnsi="宋体" w:cs="宋体"/>
        </w:rPr>
        <w:t>★</w:t>
      </w:r>
      <w:r>
        <w:rPr>
          <w:rFonts w:hint="eastAsia" w:ascii="宋体" w:hAnsi="宋体"/>
          <w:color w:val="000000" w:themeColor="text1"/>
          <w14:textFill>
            <w14:solidFill>
              <w14:schemeClr w14:val="tx1"/>
            </w14:solidFill>
          </w14:textFill>
        </w:rPr>
        <w:t>2、成交供应商必</w:t>
      </w:r>
      <w:r>
        <w:rPr>
          <w:rFonts w:hint="eastAsia" w:ascii="宋体" w:hAnsi="宋体" w:eastAsia="宋体" w:cs="Times New Roman"/>
          <w:color w:val="000000" w:themeColor="text1"/>
          <w14:textFill>
            <w14:solidFill>
              <w14:schemeClr w14:val="tx1"/>
            </w14:solidFill>
          </w14:textFill>
        </w:rPr>
        <w:t>须在</w:t>
      </w:r>
      <w:r>
        <w:rPr>
          <w:rFonts w:hint="eastAsia" w:ascii="宋体" w:hAnsi="宋体" w:eastAsia="宋体" w:cs="Times New Roman"/>
          <w:color w:val="000000" w:themeColor="text1"/>
          <w:lang w:val="en-US" w:eastAsia="zh-CN"/>
          <w14:textFill>
            <w14:solidFill>
              <w14:schemeClr w14:val="tx1"/>
            </w14:solidFill>
          </w14:textFill>
        </w:rPr>
        <w:t>进场后</w:t>
      </w:r>
      <w:r>
        <w:rPr>
          <w:rFonts w:hint="eastAsia" w:ascii="宋体" w:hAnsi="宋体" w:eastAsia="宋体" w:cs="Times New Roman"/>
          <w:color w:val="000000" w:themeColor="text1"/>
          <w:u w:val="single"/>
          <w:lang w:val="en-US" w:eastAsia="zh-CN"/>
          <w14:textFill>
            <w14:solidFill>
              <w14:schemeClr w14:val="tx1"/>
            </w14:solidFill>
          </w14:textFill>
        </w:rPr>
        <w:t>5</w:t>
      </w:r>
      <w:r>
        <w:rPr>
          <w:rFonts w:hint="eastAsia" w:ascii="宋体" w:hAnsi="宋体"/>
          <w:color w:val="000000" w:themeColor="text1"/>
          <w14:textFill>
            <w14:solidFill>
              <w14:schemeClr w14:val="tx1"/>
            </w14:solidFill>
          </w14:textFill>
        </w:rPr>
        <w:t>个日历天内</w:t>
      </w:r>
      <w:r>
        <w:rPr>
          <w:rFonts w:hint="eastAsia" w:ascii="宋体" w:hAnsi="宋体" w:eastAsia="宋体" w:cs="Times New Roman"/>
          <w:color w:val="000000" w:themeColor="text1"/>
          <w14:textFill>
            <w14:solidFill>
              <w14:schemeClr w14:val="tx1"/>
            </w14:solidFill>
          </w14:textFill>
        </w:rPr>
        <w:t>完成</w:t>
      </w:r>
      <w:r>
        <w:rPr>
          <w:rFonts w:hint="eastAsia" w:ascii="宋体" w:hAnsi="宋体" w:eastAsia="宋体"/>
          <w:color w:val="000000" w:themeColor="text1"/>
          <w14:textFill>
            <w14:solidFill>
              <w14:schemeClr w14:val="tx1"/>
            </w14:solidFill>
          </w14:textFill>
        </w:rPr>
        <w:t>检测工作</w:t>
      </w:r>
      <w:r>
        <w:rPr>
          <w:rFonts w:hint="eastAsia" w:ascii="宋体" w:hAnsi="宋体"/>
          <w:color w:val="000000" w:themeColor="text1"/>
          <w14:textFill>
            <w14:solidFill>
              <w14:schemeClr w14:val="tx1"/>
            </w14:solidFill>
          </w14:textFill>
        </w:rPr>
        <w:t>并出具合格检测报告</w:t>
      </w:r>
      <w:r>
        <w:rPr>
          <w:rFonts w:hint="eastAsia" w:ascii="宋体" w:hAnsi="宋体" w:eastAsia="宋体" w:cs="Times New Roman"/>
          <w:color w:val="000000" w:themeColor="text1"/>
          <w14:textFill>
            <w14:solidFill>
              <w14:schemeClr w14:val="tx1"/>
            </w14:solidFill>
          </w14:textFill>
        </w:rPr>
        <w:t>。</w:t>
      </w:r>
    </w:p>
    <w:p>
      <w:pPr>
        <w:tabs>
          <w:tab w:val="left" w:pos="900"/>
        </w:tabs>
        <w:autoSpaceDE w:val="0"/>
        <w:autoSpaceDN w:val="0"/>
        <w:adjustRightInd w:val="0"/>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八、付款方法</w:t>
      </w:r>
    </w:p>
    <w:p>
      <w:pPr>
        <w:tabs>
          <w:tab w:val="left" w:pos="900"/>
        </w:tabs>
        <w:autoSpaceDE w:val="0"/>
        <w:autoSpaceDN w:val="0"/>
        <w:adjustRightInd w:val="0"/>
        <w:snapToGrid w:val="0"/>
        <w:spacing w:line="360" w:lineRule="auto"/>
        <w:ind w:firstLine="426"/>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成交供应商</w:t>
      </w:r>
      <w:r>
        <w:rPr>
          <w:rFonts w:hint="eastAsia" w:ascii="宋体" w:hAnsi="宋体"/>
          <w:color w:val="000000" w:themeColor="text1"/>
          <w:lang w:val="en-US" w:eastAsia="zh-CN"/>
          <w14:textFill>
            <w14:solidFill>
              <w14:schemeClr w14:val="tx1"/>
            </w14:solidFill>
          </w14:textFill>
        </w:rPr>
        <w:t>按期</w:t>
      </w:r>
      <w:r>
        <w:rPr>
          <w:rFonts w:hint="eastAsia" w:ascii="宋体" w:hAnsi="宋体" w:eastAsia="宋体" w:cs="Times New Roman"/>
          <w:color w:val="000000" w:themeColor="text1"/>
          <w14:textFill>
            <w14:solidFill>
              <w14:schemeClr w14:val="tx1"/>
            </w14:solidFill>
          </w14:textFill>
        </w:rPr>
        <w:t>完成</w:t>
      </w:r>
      <w:r>
        <w:rPr>
          <w:rFonts w:hint="eastAsia" w:ascii="宋体" w:hAnsi="宋体"/>
          <w:color w:val="000000" w:themeColor="text1"/>
          <w14:textFill>
            <w14:solidFill>
              <w14:schemeClr w14:val="tx1"/>
            </w14:solidFill>
          </w14:textFill>
        </w:rPr>
        <w:t>服务</w:t>
      </w:r>
      <w:r>
        <w:rPr>
          <w:rFonts w:hint="eastAsia" w:ascii="宋体" w:hAnsi="宋体" w:eastAsia="宋体" w:cs="Times New Roman"/>
          <w:color w:val="000000" w:themeColor="text1"/>
          <w14:textFill>
            <w14:solidFill>
              <w14:schemeClr w14:val="tx1"/>
            </w14:solidFill>
          </w14:textFill>
        </w:rPr>
        <w:t>工作并提交</w:t>
      </w:r>
      <w:r>
        <w:rPr>
          <w:rFonts w:hint="eastAsia" w:ascii="宋体" w:hAnsi="宋体" w:eastAsia="宋体"/>
          <w:color w:val="000000" w:themeColor="text1"/>
          <w14:textFill>
            <w14:solidFill>
              <w14:schemeClr w14:val="tx1"/>
            </w14:solidFill>
          </w14:textFill>
        </w:rPr>
        <w:t>合格检测</w:t>
      </w:r>
      <w:r>
        <w:rPr>
          <w:rFonts w:hint="eastAsia" w:ascii="宋体" w:hAnsi="宋体" w:eastAsia="宋体" w:cs="Times New Roman"/>
          <w:color w:val="000000" w:themeColor="text1"/>
          <w14:textFill>
            <w14:solidFill>
              <w14:schemeClr w14:val="tx1"/>
            </w14:solidFill>
          </w14:textFill>
        </w:rPr>
        <w:t>报告</w:t>
      </w:r>
      <w:r>
        <w:rPr>
          <w:rFonts w:hint="eastAsia" w:ascii="宋体" w:hAnsi="宋体"/>
          <w:color w:val="000000" w:themeColor="text1"/>
          <w14:textFill>
            <w14:solidFill>
              <w14:schemeClr w14:val="tx1"/>
            </w14:solidFill>
          </w14:textFill>
        </w:rPr>
        <w:t>，</w:t>
      </w:r>
      <w:r>
        <w:rPr>
          <w:rFonts w:hint="eastAsia" w:ascii="宋体" w:hAnsi="宋体" w:eastAsia="宋体" w:cs="Times New Roman"/>
          <w:color w:val="000000" w:themeColor="text1"/>
          <w14:textFill>
            <w14:solidFill>
              <w14:schemeClr w14:val="tx1"/>
            </w14:solidFill>
          </w14:textFill>
        </w:rPr>
        <w:t>并经</w:t>
      </w:r>
      <w:r>
        <w:rPr>
          <w:rFonts w:hint="eastAsia" w:ascii="宋体" w:hAnsi="宋体"/>
          <w:color w:val="000000" w:themeColor="text1"/>
          <w14:textFill>
            <w14:solidFill>
              <w14:schemeClr w14:val="tx1"/>
            </w14:solidFill>
          </w14:textFill>
        </w:rPr>
        <w:t>采购人</w:t>
      </w:r>
      <w:r>
        <w:rPr>
          <w:rFonts w:hint="eastAsia" w:ascii="宋体" w:hAnsi="宋体" w:eastAsia="宋体" w:cs="Times New Roman"/>
          <w:color w:val="000000" w:themeColor="text1"/>
          <w14:textFill>
            <w14:solidFill>
              <w14:schemeClr w14:val="tx1"/>
            </w14:solidFill>
          </w14:textFill>
        </w:rPr>
        <w:t>确认符合标准后，</w:t>
      </w:r>
      <w:r>
        <w:rPr>
          <w:rFonts w:hint="eastAsia" w:ascii="宋体" w:hAnsi="宋体"/>
          <w:color w:val="000000" w:themeColor="text1"/>
          <w14:textFill>
            <w14:solidFill>
              <w14:schemeClr w14:val="tx1"/>
            </w14:solidFill>
          </w14:textFill>
        </w:rPr>
        <w:t>成交供应商</w:t>
      </w:r>
      <w:r>
        <w:rPr>
          <w:rFonts w:hint="eastAsia" w:ascii="宋体" w:hAnsi="宋体" w:eastAsia="宋体" w:cs="Times New Roman"/>
          <w:color w:val="000000" w:themeColor="text1"/>
          <w14:textFill>
            <w14:solidFill>
              <w14:schemeClr w14:val="tx1"/>
            </w14:solidFill>
          </w14:textFill>
        </w:rPr>
        <w:t>开具合同金额的全额有效普通发票（含税），</w:t>
      </w:r>
      <w:r>
        <w:rPr>
          <w:rFonts w:hint="eastAsia" w:ascii="宋体" w:hAnsi="宋体"/>
          <w:color w:val="000000" w:themeColor="text1"/>
          <w14:textFill>
            <w14:solidFill>
              <w14:schemeClr w14:val="tx1"/>
            </w14:solidFill>
          </w14:textFill>
        </w:rPr>
        <w:t>采购人</w:t>
      </w:r>
      <w:r>
        <w:rPr>
          <w:rFonts w:hint="eastAsia" w:ascii="宋体" w:hAnsi="宋体" w:eastAsia="宋体" w:cs="Times New Roman"/>
          <w:color w:val="000000" w:themeColor="text1"/>
          <w14:textFill>
            <w14:solidFill>
              <w14:schemeClr w14:val="tx1"/>
            </w14:solidFill>
          </w14:textFill>
        </w:rPr>
        <w:t>收到发票后办理结算审定手续，</w:t>
      </w:r>
      <w:r>
        <w:rPr>
          <w:rFonts w:hint="eastAsia" w:ascii="宋体" w:hAnsi="宋体" w:eastAsia="宋体" w:cs="Times New Roman"/>
          <w:color w:val="000000" w:themeColor="text1"/>
          <w:u w:val="none"/>
          <w:lang w:val="en-US" w:eastAsia="zh-CN"/>
          <w14:textFill>
            <w14:solidFill>
              <w14:schemeClr w14:val="tx1"/>
            </w14:solidFill>
          </w14:textFill>
        </w:rPr>
        <w:t>一个月</w:t>
      </w:r>
      <w:r>
        <w:rPr>
          <w:rFonts w:hint="eastAsia" w:ascii="宋体" w:hAnsi="宋体" w:eastAsia="宋体" w:cs="Times New Roman"/>
          <w:color w:val="000000" w:themeColor="text1"/>
          <w:u w:val="none"/>
          <w14:textFill>
            <w14:solidFill>
              <w14:schemeClr w14:val="tx1"/>
            </w14:solidFill>
          </w14:textFill>
        </w:rPr>
        <w:t>内</w:t>
      </w:r>
      <w:r>
        <w:rPr>
          <w:rFonts w:hint="eastAsia" w:ascii="宋体" w:hAnsi="宋体" w:eastAsia="宋体" w:cs="Times New Roman"/>
          <w:color w:val="000000" w:themeColor="text1"/>
          <w14:textFill>
            <w14:solidFill>
              <w14:schemeClr w14:val="tx1"/>
            </w14:solidFill>
          </w14:textFill>
        </w:rPr>
        <w:t>向</w:t>
      </w:r>
      <w:r>
        <w:rPr>
          <w:rFonts w:hint="eastAsia" w:ascii="宋体" w:hAnsi="宋体"/>
          <w:color w:val="000000" w:themeColor="text1"/>
          <w14:textFill>
            <w14:solidFill>
              <w14:schemeClr w14:val="tx1"/>
            </w14:solidFill>
          </w14:textFill>
        </w:rPr>
        <w:t>成交供应商</w:t>
      </w:r>
      <w:r>
        <w:rPr>
          <w:rFonts w:hint="eastAsia" w:ascii="宋体" w:hAnsi="宋体" w:eastAsia="宋体" w:cs="Times New Roman"/>
          <w:color w:val="000000" w:themeColor="text1"/>
          <w14:textFill>
            <w14:solidFill>
              <w14:schemeClr w14:val="tx1"/>
            </w14:solidFill>
          </w14:textFill>
        </w:rPr>
        <w:t>支付合同款项。</w:t>
      </w:r>
    </w:p>
    <w:p>
      <w:pPr>
        <w:tabs>
          <w:tab w:val="left" w:pos="900"/>
        </w:tabs>
        <w:autoSpaceDE w:val="0"/>
        <w:autoSpaceDN w:val="0"/>
        <w:adjustRightInd w:val="0"/>
        <w:snapToGrid w:val="0"/>
        <w:spacing w:line="360" w:lineRule="auto"/>
        <w:rPr>
          <w:rFonts w:ascii="宋体" w:hAnsi="宋体"/>
          <w:b/>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九、</w:t>
      </w:r>
      <w:r>
        <w:rPr>
          <w:rFonts w:hint="eastAsia" w:ascii="宋体" w:hAnsi="宋体"/>
          <w:b/>
          <w:color w:val="000000" w:themeColor="text1"/>
          <w14:textFill>
            <w14:solidFill>
              <w14:schemeClr w14:val="tx1"/>
            </w14:solidFill>
          </w14:textFill>
        </w:rPr>
        <w:t>违约责任</w:t>
      </w:r>
    </w:p>
    <w:p>
      <w:pPr>
        <w:pStyle w:val="2"/>
        <w:tabs>
          <w:tab w:val="left" w:pos="848"/>
        </w:tabs>
        <w:topLinePunct/>
        <w:adjustRightInd w:val="0"/>
        <w:spacing w:line="360" w:lineRule="auto"/>
        <w:ind w:left="0" w:firstLine="420" w:firstLineChars="200"/>
        <w:rPr>
          <w:rFonts w:ascii="宋体" w:hAnsi="宋体" w:eastAsiaTheme="minorEastAsia" w:cstheme="minorBidi"/>
          <w:color w:val="000000" w:themeColor="text1"/>
          <w:sz w:val="21"/>
          <w14:textFill>
            <w14:solidFill>
              <w14:schemeClr w14:val="tx1"/>
            </w14:solidFill>
          </w14:textFill>
        </w:rPr>
      </w:pPr>
      <w:r>
        <w:rPr>
          <w:rFonts w:hint="eastAsia" w:ascii="宋体" w:hAnsi="宋体" w:eastAsiaTheme="minorEastAsia" w:cstheme="minorBidi"/>
          <w:color w:val="000000" w:themeColor="text1"/>
          <w:sz w:val="21"/>
          <w14:textFill>
            <w14:solidFill>
              <w14:schemeClr w14:val="tx1"/>
            </w14:solidFill>
          </w14:textFill>
        </w:rPr>
        <w:t>1、如因成交供应商原因所导致的一切安全事故、责任和后果，由成交供应商承担一切责任，采购人保留追究成交供应商法律责任及赔偿的权利。</w:t>
      </w:r>
    </w:p>
    <w:p>
      <w:pPr>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s="宋体"/>
          <w:bCs/>
          <w:szCs w:val="21"/>
        </w:rPr>
        <w:t>2、成交供应商未按时完成服务工作，每延误一天按中标总额的5‰向采购人交付违约金，若延误超过30天，采购人有权取消合同，成交供应商应按照中标总金额的30%向采购人支付违约金，并由此引起的经济损失由成交供应商承担。</w:t>
      </w:r>
    </w:p>
    <w:p>
      <w:pPr>
        <w:pStyle w:val="3"/>
        <w:tabs>
          <w:tab w:val="left" w:pos="540"/>
        </w:tabs>
        <w:adjustRightInd w:val="0"/>
        <w:snapToGrid w:val="0"/>
        <w:spacing w:line="360" w:lineRule="auto"/>
        <w:ind w:firstLine="420" w:firstLineChars="200"/>
        <w:rPr>
          <w:rFonts w:hAnsi="宋体" w:cstheme="minorBidi"/>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3、对</w:t>
      </w:r>
      <w:r>
        <w:rPr>
          <w:rFonts w:hint="eastAsia" w:hAnsi="宋体" w:cstheme="minorBidi"/>
          <w:color w:val="000000" w:themeColor="text1"/>
          <w:sz w:val="21"/>
          <w14:textFill>
            <w14:solidFill>
              <w14:schemeClr w14:val="tx1"/>
            </w14:solidFill>
          </w14:textFill>
        </w:rPr>
        <w:t>成交供应商不按规定履行义务，在服务</w:t>
      </w:r>
      <w:r>
        <w:rPr>
          <w:rFonts w:hint="eastAsia" w:hAnsi="宋体"/>
          <w:color w:val="000000" w:themeColor="text1"/>
          <w:sz w:val="21"/>
          <w14:textFill>
            <w14:solidFill>
              <w14:schemeClr w14:val="tx1"/>
            </w14:solidFill>
          </w14:textFill>
        </w:rPr>
        <w:t>中弄虚作假或严重不负责任的，或转包、分包</w:t>
      </w:r>
      <w:r>
        <w:rPr>
          <w:rFonts w:hint="eastAsia" w:hAnsi="宋体" w:cstheme="minorBidi"/>
          <w:color w:val="000000" w:themeColor="text1"/>
          <w:sz w:val="21"/>
          <w14:textFill>
            <w14:solidFill>
              <w14:schemeClr w14:val="tx1"/>
            </w14:solidFill>
          </w14:textFill>
        </w:rPr>
        <w:t>本服务项目的，采购人有权终止</w:t>
      </w:r>
      <w:r>
        <w:rPr>
          <w:rFonts w:hint="eastAsia" w:hAnsi="宋体"/>
          <w:color w:val="000000" w:themeColor="text1"/>
          <w:sz w:val="21"/>
          <w14:textFill>
            <w14:solidFill>
              <w14:schemeClr w14:val="tx1"/>
            </w14:solidFill>
          </w14:textFill>
        </w:rPr>
        <w:t>合同</w:t>
      </w:r>
      <w:r>
        <w:rPr>
          <w:rFonts w:hint="eastAsia" w:hAnsi="宋体" w:cstheme="minorBidi"/>
          <w:color w:val="000000" w:themeColor="text1"/>
          <w:sz w:val="21"/>
          <w14:textFill>
            <w14:solidFill>
              <w14:schemeClr w14:val="tx1"/>
            </w14:solidFill>
          </w14:textFill>
        </w:rPr>
        <w:t>。</w:t>
      </w:r>
    </w:p>
    <w:p>
      <w:pPr>
        <w:rPr>
          <w:rFonts w:hint="eastAsia" w:ascii="宋体" w:hAnsi="宋体" w:cs="宋体"/>
          <w:bCs/>
          <w:szCs w:val="21"/>
        </w:rPr>
      </w:pPr>
      <w:r>
        <w:rPr>
          <w:rFonts w:hint="eastAsia" w:ascii="宋体" w:hAnsi="宋体" w:cs="宋体"/>
          <w:bCs/>
          <w:szCs w:val="21"/>
        </w:rPr>
        <w:t>4、成交供应商无故放弃成交资格的，向采购人支付成交价的5%的违约金；成交公告公示后7个工作日内，成交供应商不签合同的，向采购人支付成交价的5%的违约金。</w:t>
      </w:r>
    </w:p>
    <w:p>
      <w:pPr>
        <w:rPr>
          <w:rFonts w:hint="eastAsia" w:ascii="宋体" w:hAnsi="宋体" w:cs="宋体"/>
          <w:bCs/>
          <w:szCs w:val="21"/>
        </w:rPr>
      </w:pPr>
    </w:p>
    <w:p>
      <w:pPr>
        <w:rPr>
          <w:rFonts w:hint="eastAsia" w:ascii="宋体" w:hAnsi="宋体" w:cs="宋体"/>
          <w:bCs/>
          <w:szCs w:val="21"/>
        </w:rPr>
      </w:pPr>
    </w:p>
    <w:p>
      <w:pPr>
        <w:rPr>
          <w:rFonts w:hint="eastAsia" w:ascii="宋体" w:hAnsi="宋体" w:cs="宋体"/>
          <w:bCs/>
          <w:szCs w:val="21"/>
        </w:rPr>
      </w:pPr>
    </w:p>
    <w:p>
      <w:pPr>
        <w:rPr>
          <w:rFonts w:hint="eastAsia" w:ascii="宋体" w:hAnsi="宋体" w:cs="宋体"/>
          <w:bCs/>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145046"/>
    <w:multiLevelType w:val="singleLevel"/>
    <w:tmpl w:val="AB145046"/>
    <w:lvl w:ilvl="0" w:tentative="0">
      <w:start w:val="4"/>
      <w:numFmt w:val="chineseCounting"/>
      <w:suff w:val="nothing"/>
      <w:lvlText w:val="%1、"/>
      <w:lvlJc w:val="left"/>
      <w:rPr>
        <w:rFonts w:hint="eastAsia"/>
      </w:rPr>
    </w:lvl>
  </w:abstractNum>
  <w:abstractNum w:abstractNumId="1">
    <w:nsid w:val="28E47DB8"/>
    <w:multiLevelType w:val="multilevel"/>
    <w:tmpl w:val="28E47DB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decimal"/>
      <w:lvlText w:val="（%3）"/>
      <w:lvlJc w:val="left"/>
      <w:pPr>
        <w:ind w:left="1740" w:hanging="420"/>
      </w:pPr>
      <w:rPr>
        <w:rFonts w:hint="eastAsia"/>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6DE4567"/>
    <w:multiLevelType w:val="multilevel"/>
    <w:tmpl w:val="56DE456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decimal"/>
      <w:lvlText w:val="（%9）"/>
      <w:lvlJc w:val="left"/>
      <w:pPr>
        <w:ind w:left="3780" w:hanging="420"/>
      </w:pPr>
      <w:rPr>
        <w:rFonts w:hint="eastAsia"/>
      </w:rPr>
    </w:lvl>
  </w:abstractNum>
  <w:abstractNum w:abstractNumId="3">
    <w:nsid w:val="7A474C4A"/>
    <w:multiLevelType w:val="multilevel"/>
    <w:tmpl w:val="7A474C4A"/>
    <w:lvl w:ilvl="0" w:tentative="0">
      <w:start w:val="1"/>
      <w:numFmt w:val="decimal"/>
      <w:lvlText w:val="（%1）"/>
      <w:lvlJc w:val="left"/>
      <w:pPr>
        <w:ind w:left="703" w:hanging="420"/>
      </w:pPr>
      <w:rPr>
        <w:rFonts w:hint="eastAsia"/>
      </w:r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0D113C19"/>
    <w:rsid w:val="0D113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560" w:lineRule="exact"/>
      <w:ind w:left="300"/>
    </w:pPr>
    <w:rPr>
      <w:rFonts w:ascii="Times New Roman" w:hAnsi="Times New Roman" w:eastAsia="宋体" w:cs="Times New Roman"/>
      <w:sz w:val="24"/>
    </w:rPr>
  </w:style>
  <w:style w:type="paragraph" w:styleId="3">
    <w:name w:val="Plain Text"/>
    <w:basedOn w:val="1"/>
    <w:qFormat/>
    <w:uiPriority w:val="0"/>
    <w:rPr>
      <w:rFonts w:ascii="宋体" w:hAnsi="Courier New" w:cs="Courier New"/>
      <w:kern w:val="0"/>
      <w:sz w:val="20"/>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正文_0"/>
    <w:qFormat/>
    <w:uiPriority w:val="0"/>
    <w:pPr>
      <w:widowControl w:val="0"/>
      <w:jc w:val="both"/>
    </w:pPr>
    <w:rPr>
      <w:rFonts w:ascii="Calibri" w:hAnsi="Calibri" w:eastAsia="宋体" w:cs="Calibri"/>
      <w:kern w:val="2"/>
      <w:sz w:val="21"/>
      <w:szCs w:val="21"/>
      <w:lang w:val="en-US" w:eastAsia="zh-CN" w:bidi="ar-SA"/>
    </w:rPr>
  </w:style>
  <w:style w:type="paragraph" w:customStyle="1" w:styleId="8">
    <w:name w:val="列出段落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2253</Words>
  <Characters>2368</Characters>
  <Lines>0</Lines>
  <Paragraphs>0</Paragraphs>
  <TotalTime>0</TotalTime>
  <ScaleCrop>false</ScaleCrop>
  <LinksUpToDate>false</LinksUpToDate>
  <CharactersWithSpaces>2368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2023-03-14T08:14:00Z</dcterms:created>
  <dc:creator>Rebecca</dc:creator>
  <cp:lastModifiedBy>Rebecca</cp:lastModifiedBy>
  <dcterms:modified xsi:type="dcterms:W3CDTF">2023-03-14T08:15:30Z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99890F6B5A5747C7A3B969876354ABCC</vt:lpwstr>
  </property>
</Properties>
</file>