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等离子射频手术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第三次</w:t>
      </w:r>
      <w:r>
        <w:rPr>
          <w:rFonts w:hint="eastAsia" w:ascii="宋体" w:hAnsi="宋体" w:cs="宋体"/>
          <w:b/>
          <w:bCs/>
          <w:color w:val="auto"/>
          <w:sz w:val="36"/>
          <w:szCs w:val="36"/>
          <w:highlight w:val="none"/>
          <w:lang w:eastAsia="zh-CN"/>
        </w:rPr>
        <w:t>）</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49000</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等离子射频手术系统（第三次）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49000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2023年3月17</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2023年3月10</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r>
              <w:rPr>
                <w:rFonts w:hint="eastAsia" w:ascii="仿宋" w:hAnsi="仿宋" w:eastAsia="仿宋" w:cs="仿宋"/>
                <w:color w:val="000000"/>
                <w:sz w:val="24"/>
                <w:highlight w:val="none"/>
                <w:lang w:val="en-US" w:eastAsia="zh-CN"/>
              </w:rPr>
              <w:t>台</w:t>
            </w:r>
            <w:r>
              <w:rPr>
                <w:rFonts w:hint="eastAsia" w:ascii="仿宋" w:hAnsi="仿宋" w:eastAsia="仿宋" w:cs="仿宋"/>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3274" w:type="dxa"/>
            <w:noWrap w:val="0"/>
            <w:vAlign w:val="top"/>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等离子射频手术系统（第三次）</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耳鼻喉科</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具有射频消融功能（双极射频电极消融）和等离子消融切割功能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具有内镜下消融切割和止血功能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咽喉镜、纤支镜下专用电极，可通过内镜钳道进行手术。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时间可控制在500毫秒内。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工作频率100KHz。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最大功率不低于360W。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自动检测附件及刀头功能：能在连接好脚踏和手柄后主机根据不同刀头自动设置默认功率大小。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安全可控：低温控制：工作温度仅为40-70℃，创面无碳化，对周边组织损伤小。操作精确：消融作用在靶组织表面，离子作用仅为130微米。创伤轻微：黏膜损伤小、出血少、疼痛轻、恢复快。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开展头颈肿瘤甲状腺开放性手术等离子功能，满足滴注、吸引、切割、止血，刀头采用双极方式设计，实现双侧吸引，双侧切割、止血的功能。刀头前段直径0.3mm实现精准切割、精准剥离组织。刀杆抓手到刀头尖端小于130mm,使得操作者作用力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耳内镜下开展耳科手术等离子功能，实现切割、止血、消融、凝固、滴注、吸引等功能等结合；刀头电极厚度0.25MM、电极宽度2.6MM、刀头直径3.3MM实现精准切割、精准剥离组织、刀杆长65MM使得操作者作用力精准，能充分满足耳内竟手术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经耳道内竟水下操作灌流术式等离子功能，配备45度勾刀、0度皮瓣刀、45度皮瓣刀、勾状剥离器组合开展经耳道内竟水下操作灌流术式等离子刀头。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电极（刀头）为已灭菌一次性无菌产品，并具有药监部门一次性无菌体系考核证书。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根据不同手术部位，不同的病症配备不同长短、粗细、弧度、能量级的治疗刀头。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在同一支刀头、同一个输出接口输出，能同时实现消融、凝固、止血、切割功能，避免了手术操作过程中频繁更换治疗刀头的麻烦</w:t>
            </w:r>
            <w:r>
              <w:rPr>
                <w:rFonts w:hint="eastAsia" w:ascii="宋体" w:hAnsi="宋体"/>
                <w:color w:val="000000"/>
                <w:sz w:val="24"/>
                <w:highlight w:val="none"/>
              </w:rPr>
              <w:cr/>
            </w:r>
            <w:r>
              <w:rPr>
                <w:rFonts w:hint="eastAsia" w:ascii="宋体" w:hAnsi="宋体"/>
                <w:color w:val="000000"/>
                <w:sz w:val="24"/>
                <w:highlight w:val="none"/>
              </w:rPr>
              <w:t>具备多极吸引切割功能及配置，适合开展扁桃体、腺样体、乳头状瘤、息肉、CAUP、UPPP等。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具有独立的医疗器械注册证的一次性射频消融电极针。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喉科专用刀头，设计有1.9mm、2.5mm、3.4mm、3.8mm直径的刀头，能充分满足喉深部、声门等的各种病变。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儿童专用刀头（刀杆长130-131mm；外刀杆直径：≤3.8mm，常规刀头在4.2-6.0mm的直径）。通过双环、放重力、防堵塞设计，使该刀头切割、消融、吸引能力更强，刀头更细，对周围组织损伤更小，适宜精准操作和儿童狭窄的生理结构下的手术操作，能适应更窄小的位置手术，同时能够到达传统刀头到达不了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配套医用耗材：必须提供国家医保耗材代码，必须提供广东省药品电子交易平台的药交ID。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eastAsia="宋体"/>
                <w:color w:val="000000"/>
                <w:sz w:val="24"/>
                <w:lang w:val="en-US" w:eastAsia="zh-CN"/>
              </w:rPr>
              <w:t>原厂保修2年。</w:t>
            </w:r>
          </w:p>
        </w:tc>
      </w:tr>
    </w:tbl>
    <w:p>
      <w:pPr>
        <w:spacing w:line="440" w:lineRule="exact"/>
        <w:rPr>
          <w:rFonts w:ascii="仿宋" w:hAnsi="仿宋" w:eastAsia="仿宋" w:cs="仿宋"/>
          <w:b/>
          <w:color w:val="000000"/>
          <w:sz w:val="24"/>
          <w:highlight w:val="none"/>
        </w:rPr>
      </w:pPr>
    </w:p>
    <w:p>
      <w:pPr>
        <w:pStyle w:val="61"/>
        <w:numPr>
          <w:ilvl w:val="0"/>
          <w:numId w:val="0"/>
        </w:numPr>
        <w:spacing w:line="440" w:lineRule="exact"/>
        <w:ind w:leftChars="0"/>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四、</w:t>
      </w: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2</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bookmarkStart w:id="6" w:name="_GoBack"/>
      <w:bookmarkEnd w:id="6"/>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2"/>
        <w:rPr>
          <w:rFonts w:hint="eastAsia"/>
        </w:rPr>
      </w:pPr>
    </w:p>
    <w:p>
      <w:pPr>
        <w:rPr>
          <w:rFonts w:hint="eastAsia"/>
        </w:rPr>
      </w:pPr>
    </w:p>
    <w:p>
      <w:pPr>
        <w:pStyle w:val="2"/>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w:t>
      </w:r>
      <w:r>
        <w:rPr>
          <w:rFonts w:hint="eastAsia" w:ascii="宋体" w:hAnsi="宋体" w:cs="宋体"/>
          <w:b/>
          <w:bCs/>
          <w:color w:val="auto"/>
          <w:sz w:val="36"/>
          <w:szCs w:val="36"/>
          <w:highlight w:val="none"/>
          <w:lang w:val="en-US" w:eastAsia="zh-CN"/>
        </w:rPr>
        <w:t>等离子射频手术</w:t>
      </w:r>
    </w:p>
    <w:p>
      <w:pPr>
        <w:pStyle w:val="22"/>
        <w:spacing w:line="360" w:lineRule="auto"/>
        <w:ind w:firstLine="1446" w:firstLineChars="400"/>
        <w:rPr>
          <w:rFonts w:hint="eastAsia" w:ascii="宋体" w:hAnsi="宋体" w:eastAsia="宋体"/>
          <w:b/>
          <w:color w:val="auto"/>
          <w:sz w:val="32"/>
          <w:szCs w:val="32"/>
          <w:u w:val="single"/>
          <w:lang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第三次</w:t>
      </w:r>
      <w:r>
        <w:rPr>
          <w:rFonts w:hint="eastAsia" w:ascii="宋体" w:hAnsi="宋体" w:eastAsia="宋体" w:cs="宋体"/>
          <w:b/>
          <w:bCs/>
          <w:color w:val="auto"/>
          <w:sz w:val="36"/>
          <w:szCs w:val="36"/>
          <w:highlight w:val="none"/>
          <w:lang w:eastAsia="zh-CN"/>
        </w:rPr>
        <w:t>）</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2"/>
  </w:num>
  <w:num w:numId="8">
    <w:abstractNumId w:val="5"/>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1C5D12"/>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B163D"/>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5651</Words>
  <Characters>5910</Characters>
  <Lines>320</Lines>
  <Paragraphs>90</Paragraphs>
  <TotalTime>0</TotalTime>
  <ScaleCrop>false</ScaleCrop>
  <LinksUpToDate>false</LinksUpToDate>
  <CharactersWithSpaces>6133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2023-03-10T06:55:05Z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