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pPr>
        <w:numPr>
          <w:ilvl w:val="0"/>
          <w:numId w:val="1"/>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3.本项目不接受联合体、中标供应商不得以任何方式转包本项目。</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noWrap w:val="0"/>
            <w:vAlign w:val="top"/>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noWrap w:val="0"/>
            <w:vAlign w:val="top"/>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动态葡萄糖监测系统</w:t>
            </w:r>
          </w:p>
        </w:tc>
        <w:tc>
          <w:tcPr>
            <w:tcW w:w="2268" w:type="dxa"/>
            <w:noWrap w:val="0"/>
            <w:vAlign w:val="top"/>
          </w:tcPr>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内分泌科</w:t>
            </w:r>
          </w:p>
        </w:tc>
        <w:tc>
          <w:tcPr>
            <w:tcW w:w="2508" w:type="dxa"/>
            <w:noWrap w:val="0"/>
            <w:vAlign w:val="top"/>
          </w:tcPr>
          <w:p>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r>
    </w:tbl>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核心产品：动态葡萄糖监测系统（扫描仪套装+传感器套装）</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用途：监测糖尿病患者14天24小时的动态葡萄糖变化情况，予以精准治疗方案。</w:t>
      </w:r>
    </w:p>
    <w:p>
      <w:pPr>
        <w:numPr>
          <w:ilvl w:val="0"/>
          <w:numId w:val="1"/>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技术参数：</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noWrap w:val="0"/>
            <w:vAlign w:val="top"/>
          </w:tcPr>
          <w:p>
            <w:pPr>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7599" w:type="dxa"/>
            <w:noWrap w:val="0"/>
            <w:vAlign w:val="top"/>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扫描仪存放温度-20℃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60℃，操作温度10℃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扫描仪可工作时间</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扫描仪储存当前患者数据，监测频次和数据储存频次扫描时更新数据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扫描仪报告数</w:t>
            </w:r>
            <w:r>
              <w:rPr>
                <w:rFonts w:hint="eastAsia" w:ascii="仿宋" w:hAnsi="仿宋" w:eastAsia="仿宋" w:cs="仿宋"/>
                <w:color w:val="auto"/>
                <w:sz w:val="24"/>
                <w:highlight w:val="none"/>
                <w:lang w:val="en-US" w:eastAsia="zh-CN"/>
              </w:rPr>
              <w:t>量≥</w:t>
            </w:r>
            <w:r>
              <w:rPr>
                <w:rFonts w:hint="eastAsia" w:ascii="仿宋" w:hAnsi="仿宋" w:eastAsia="仿宋" w:cs="仿宋"/>
                <w:color w:val="auto"/>
                <w:sz w:val="24"/>
                <w:highlight w:val="none"/>
              </w:rPr>
              <w:t>3种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扫描仪和传感器操作时距离4CM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扫描仪充电时间</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3小时，充满电后续航</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扫描仪重量</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65g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7599" w:type="dxa"/>
            <w:noWrap w:val="0"/>
            <w:vAlign w:val="top"/>
          </w:tcPr>
          <w:p>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扫描仪</w:t>
            </w:r>
            <w:r>
              <w:rPr>
                <w:rFonts w:hint="eastAsia" w:ascii="仿宋" w:hAnsi="仿宋" w:eastAsia="仿宋" w:cs="仿宋"/>
                <w:color w:val="auto"/>
                <w:sz w:val="24"/>
                <w:highlight w:val="none"/>
                <w:lang w:val="en-US" w:eastAsia="zh-CN"/>
              </w:rPr>
              <w:t>采用</w:t>
            </w:r>
            <w:r>
              <w:rPr>
                <w:rFonts w:hint="eastAsia" w:ascii="仿宋" w:hAnsi="仿宋" w:eastAsia="仿宋" w:cs="仿宋"/>
                <w:color w:val="auto"/>
                <w:sz w:val="24"/>
                <w:highlight w:val="none"/>
              </w:rPr>
              <w:t>彩色触屏，</w:t>
            </w:r>
            <w:r>
              <w:rPr>
                <w:rFonts w:hint="eastAsia" w:ascii="仿宋" w:hAnsi="仿宋" w:eastAsia="仿宋" w:cs="仿宋"/>
                <w:color w:val="auto"/>
                <w:sz w:val="24"/>
                <w:highlight w:val="none"/>
                <w:lang w:val="en-US" w:eastAsia="zh-CN"/>
              </w:rPr>
              <w:t>按键数量少便于操作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扫描仪指尖血糖测试范围1.1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27.8mmol/L，指尖血酮测试范围0.0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传感器存放温度4℃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25℃，操作温度10℃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传感器可工作时间14天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传感器数据储存一年以内可读取数据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传感器监测频次每分钟一次，数据储存频次每15分钟一次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传感器防水可洗澡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传感器有效期</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传感器葡萄糖监测方法安培电化学法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传感器葡萄糖读数范围2.2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27.8mmol/L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传感器体积直径35mm，针长5mm，针粗0.4mm以下</w:t>
            </w:r>
          </w:p>
        </w:tc>
      </w:tr>
    </w:tbl>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每套设备配置要求：</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3498"/>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126"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3498"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要求</w:t>
            </w:r>
          </w:p>
        </w:tc>
        <w:tc>
          <w:tcPr>
            <w:tcW w:w="96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920"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26"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动态葡萄糖监测系统（扫描仪套装）</w:t>
            </w:r>
          </w:p>
        </w:tc>
        <w:tc>
          <w:tcPr>
            <w:tcW w:w="3498"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扫描检测仪1台，电源适配器1个，USB电缆1条，操作手册1本，快速入门指南1本</w:t>
            </w:r>
          </w:p>
        </w:tc>
        <w:tc>
          <w:tcPr>
            <w:tcW w:w="969" w:type="dxa"/>
            <w:noWrap w:val="0"/>
            <w:vAlign w:val="top"/>
          </w:tcPr>
          <w:p>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920"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盒</w:t>
            </w:r>
          </w:p>
        </w:tc>
      </w:tr>
    </w:tbl>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设备配套耗材/试剂</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126"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耗材/试剂名称</w:t>
            </w:r>
          </w:p>
        </w:tc>
        <w:tc>
          <w:tcPr>
            <w:tcW w:w="5387"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26"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动态葡萄糖监测系统（传感器套装）</w:t>
            </w:r>
          </w:p>
        </w:tc>
        <w:tc>
          <w:tcPr>
            <w:tcW w:w="5387"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传感器敷贴器1个、传感器组件包1个、产品说明书1本</w:t>
            </w:r>
          </w:p>
        </w:tc>
      </w:tr>
    </w:tbl>
    <w:p>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1.所有耗材必须在广东省药品电子交易平台交易并且不高于联盟区限价。</w:t>
      </w:r>
    </w:p>
    <w:p>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2.所投设备的配套耗材必须有正规国家医保耗材码，同时纳入广东省和中山市的医保目录库。</w:t>
      </w:r>
    </w:p>
    <w:p>
      <w:pPr>
        <w:spacing w:line="440" w:lineRule="exact"/>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商务要求：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1.交货及安装、验收要求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1.2交货期：中标供应商应当在中标通知书发出之日起30日内按招标文件及中标人的投标文件确定的事项与采购人签订合同，签订合同后  7  日内完成设备的安装调试。合同设备交付时中标供应商应提供合同设备真实有效的生产日期，且保证合同设备的生产日期距交付时的时间差不超过   12  月。</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1.3中标供应商须保证中标后所提供的设备为原装、全新合格的产品。</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1.5验收方式：按《小榄镇公立医院政府采购和验收办法》。</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★1.6投标供应商须要在投标文件做出具承诺函，该承诺函包括但不限于以下内容:</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2.售后服务要求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★2.2中标供应商须提供设备原厂质保（设备原厂质量保修范围和保修期）至少为  3  年。</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3.付款方式</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★3.1本合同的每笔款项以人民币转账方式支付，合同设备到采购人指定地点交付并完成安装，验收合格后，中标单位凭：</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5%；合同总金额的5%在质保期满后一次性无息支付。</w:t>
      </w:r>
    </w:p>
    <w:p>
      <w:pPr>
        <w:spacing w:line="440" w:lineRule="exact"/>
        <w:rPr>
          <w:rFonts w:hint="eastAsia" w:ascii="仿宋" w:hAnsi="仿宋" w:eastAsia="仿宋" w:cs="仿宋"/>
          <w:color w:val="auto"/>
          <w:sz w:val="24"/>
          <w:highlight w:val="none"/>
        </w:rPr>
      </w:pPr>
    </w:p>
    <w:p>
      <w:pPr>
        <w:jc w:val="center"/>
        <w:rPr>
          <w:rFonts w:hint="eastAsia" w:ascii="宋体" w:hAnsi="宋体" w:cs="Arial"/>
          <w:b/>
          <w:bCs w:val="0"/>
          <w:color w:val="000000"/>
          <w:sz w:val="24"/>
          <w:szCs w:val="32"/>
          <w:lang w:val="en-US" w:eastAsia="zh-CN"/>
        </w:rPr>
      </w:pPr>
    </w:p>
    <w:p>
      <w:pPr>
        <w:jc w:val="center"/>
        <w:rPr>
          <w:rFonts w:hint="eastAsia" w:ascii="宋体" w:hAnsi="宋体" w:cs="Arial"/>
          <w:b/>
          <w:bCs w:val="0"/>
          <w:color w:val="000000"/>
          <w:sz w:val="24"/>
          <w:szCs w:val="32"/>
          <w:lang w:val="en-US" w:eastAsia="zh-CN"/>
        </w:rPr>
      </w:pPr>
    </w:p>
    <w:p>
      <w:pPr>
        <w:jc w:val="center"/>
        <w:rPr>
          <w:rFonts w:hint="eastAsia" w:ascii="宋体" w:hAnsi="宋体" w:cs="Arial"/>
          <w:b/>
          <w:bCs w:val="0"/>
          <w:color w:val="000000"/>
          <w:sz w:val="24"/>
          <w:szCs w:val="32"/>
          <w:lang w:val="en-US" w:eastAsia="zh-CN"/>
        </w:rPr>
      </w:pPr>
      <w:r>
        <w:rPr>
          <w:rFonts w:hint="eastAsia" w:ascii="宋体" w:hAnsi="宋体" w:cs="Arial"/>
          <w:b/>
          <w:bCs w:val="0"/>
          <w:color w:val="000000"/>
          <w:sz w:val="24"/>
          <w:szCs w:val="32"/>
          <w:lang w:val="en-US" w:eastAsia="zh-CN"/>
        </w:rPr>
        <w:t>参数响应表</w:t>
      </w:r>
    </w:p>
    <w:p>
      <w:pPr>
        <w:jc w:val="center"/>
        <w:rPr>
          <w:rFonts w:hint="eastAsia" w:ascii="宋体" w:hAnsi="宋体" w:cs="Arial"/>
          <w:b/>
          <w:bCs w:val="0"/>
          <w:color w:val="000000"/>
          <w:sz w:val="24"/>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序号</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需求参数</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响应实际参数</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是否偏离</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587C5F49"/>
    <w:rsid w:val="587C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2023-03-01T08:41:00Z</dcterms:created>
  <dc:creator>Rebecca</dc:creator>
  <cp:lastModifiedBy>Rebecca</cp:lastModifiedBy>
  <dcterms:modified xsi:type="dcterms:W3CDTF">2023-03-01T08:41:50Z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CD24401A3C5142768EBEAA00BC2C8115</vt:lpwstr>
  </property>
</Properties>
</file>