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spacing w:line="360" w:lineRule="auto"/>
        <w:jc w:val="center"/>
        <w:rPr>
          <w:rFonts w:hint="eastAsia" w:ascii="宋体" w:hAnsi="宋体" w:eastAsia="宋体" w:cs="宋体"/>
          <w:b/>
          <w:color w:val="auto"/>
          <w:sz w:val="24"/>
          <w:szCs w:val="24"/>
          <w:highlight w:val="none"/>
        </w:rPr>
      </w:pPr>
    </w:p>
    <w:p>
      <w:pPr>
        <w:tabs>
          <w:tab w:val="left" w:pos="420"/>
          <w:tab w:val="left" w:pos="6660"/>
        </w:tabs>
        <w:spacing w:line="360" w:lineRule="auto"/>
        <w:jc w:val="center"/>
        <w:rPr>
          <w:rFonts w:hint="eastAsia" w:ascii="宋体" w:hAnsi="宋体" w:eastAsia="宋体" w:cs="宋体"/>
          <w:b/>
          <w:color w:val="auto"/>
          <w:sz w:val="24"/>
          <w:szCs w:val="24"/>
          <w:highlight w:val="none"/>
        </w:rPr>
      </w:pPr>
    </w:p>
    <w:p>
      <w:pPr>
        <w:tabs>
          <w:tab w:val="left" w:pos="420"/>
          <w:tab w:val="left" w:pos="6660"/>
        </w:tabs>
        <w:spacing w:line="360" w:lineRule="auto"/>
        <w:jc w:val="center"/>
        <w:rPr>
          <w:rFonts w:hint="eastAsia" w:ascii="宋体" w:hAnsi="宋体" w:eastAsia="宋体" w:cs="宋体"/>
          <w:b/>
          <w:color w:val="auto"/>
          <w:sz w:val="72"/>
          <w:szCs w:val="72"/>
          <w:highlight w:val="none"/>
          <w:lang w:val="en-US" w:eastAsia="zh-CN"/>
        </w:rPr>
      </w:pPr>
      <w:r>
        <w:rPr>
          <w:rFonts w:hint="eastAsia" w:ascii="宋体" w:hAnsi="宋体" w:eastAsia="宋体" w:cs="宋体"/>
          <w:b/>
          <w:color w:val="auto"/>
          <w:sz w:val="72"/>
          <w:szCs w:val="72"/>
          <w:highlight w:val="none"/>
          <w:lang w:val="en-US" w:eastAsia="zh-CN"/>
        </w:rPr>
        <w:t>谈 判 文 件</w:t>
      </w:r>
    </w:p>
    <w:p>
      <w:pPr>
        <w:widowControl/>
        <w:spacing w:line="360" w:lineRule="auto"/>
        <w:jc w:val="center"/>
        <w:rPr>
          <w:rFonts w:hint="eastAsia" w:ascii="宋体" w:hAnsi="宋体" w:eastAsia="宋体" w:cs="宋体"/>
          <w:b/>
          <w:color w:val="auto"/>
          <w:sz w:val="36"/>
          <w:szCs w:val="36"/>
          <w:highlight w:val="none"/>
        </w:rPr>
      </w:pPr>
    </w:p>
    <w:p>
      <w:pPr>
        <w:pStyle w:val="2"/>
        <w:rPr>
          <w:rFonts w:hint="eastAsia" w:ascii="宋体" w:hAnsi="宋体" w:eastAsia="宋体" w:cs="宋体"/>
          <w:b/>
          <w:color w:val="auto"/>
          <w:sz w:val="36"/>
          <w:szCs w:val="36"/>
          <w:highlight w:val="none"/>
        </w:rPr>
      </w:pPr>
    </w:p>
    <w:p>
      <w:pPr>
        <w:pStyle w:val="3"/>
        <w:rPr>
          <w:rFonts w:hint="eastAsia" w:ascii="宋体" w:hAnsi="宋体" w:eastAsia="宋体" w:cs="宋体"/>
          <w:b/>
          <w:color w:val="auto"/>
          <w:sz w:val="36"/>
          <w:szCs w:val="36"/>
          <w:highlight w:val="none"/>
        </w:rPr>
      </w:pPr>
    </w:p>
    <w:p>
      <w:pPr>
        <w:rPr>
          <w:rFonts w:hint="eastAsia" w:ascii="宋体" w:hAnsi="宋体" w:eastAsia="宋体" w:cs="宋体"/>
          <w:b/>
          <w:color w:val="auto"/>
          <w:sz w:val="36"/>
          <w:szCs w:val="36"/>
          <w:highlight w:val="none"/>
        </w:rPr>
      </w:pPr>
    </w:p>
    <w:p>
      <w:pPr>
        <w:pStyle w:val="2"/>
        <w:rPr>
          <w:rFonts w:hint="eastAsia" w:ascii="宋体" w:hAnsi="宋体" w:eastAsia="宋体" w:cs="宋体"/>
          <w:b/>
          <w:color w:val="auto"/>
          <w:sz w:val="36"/>
          <w:szCs w:val="36"/>
          <w:highlight w:val="none"/>
        </w:rPr>
      </w:pPr>
    </w:p>
    <w:p>
      <w:pPr>
        <w:pStyle w:val="3"/>
        <w:rPr>
          <w:rFonts w:hint="eastAsia" w:ascii="宋体" w:hAnsi="宋体" w:eastAsia="宋体" w:cs="宋体"/>
          <w:b/>
          <w:color w:val="auto"/>
          <w:sz w:val="36"/>
          <w:szCs w:val="36"/>
          <w:highlight w:val="none"/>
        </w:rPr>
      </w:pPr>
    </w:p>
    <w:p>
      <w:pPr>
        <w:rPr>
          <w:rFonts w:hint="eastAsia" w:ascii="宋体" w:hAnsi="宋体" w:eastAsia="宋体" w:cs="宋体"/>
          <w:color w:val="auto"/>
          <w:sz w:val="36"/>
          <w:szCs w:val="36"/>
          <w:highlight w:val="none"/>
        </w:rPr>
      </w:pPr>
    </w:p>
    <w:p>
      <w:pPr>
        <w:widowControl/>
        <w:spacing w:line="360" w:lineRule="auto"/>
        <w:jc w:val="center"/>
        <w:rPr>
          <w:rFonts w:hint="eastAsia" w:ascii="宋体" w:hAnsi="宋体" w:eastAsia="宋体" w:cs="宋体"/>
          <w:b/>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2168" w:firstLineChars="600"/>
        <w:jc w:val="left"/>
        <w:textAlignment w:val="auto"/>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项目名称：</w:t>
      </w:r>
    </w:p>
    <w:p>
      <w:pPr>
        <w:keepNext w:val="0"/>
        <w:keepLines w:val="0"/>
        <w:pageBreakBefore w:val="0"/>
        <w:widowControl/>
        <w:kinsoku/>
        <w:wordWrap/>
        <w:overflowPunct/>
        <w:topLinePunct w:val="0"/>
        <w:autoSpaceDE/>
        <w:autoSpaceDN/>
        <w:bidi w:val="0"/>
        <w:adjustRightInd/>
        <w:snapToGrid/>
        <w:spacing w:line="360" w:lineRule="auto"/>
        <w:ind w:firstLine="2168" w:firstLineChars="600"/>
        <w:jc w:val="left"/>
        <w:textAlignment w:val="auto"/>
        <w:rPr>
          <w:rFonts w:hint="default" w:ascii="宋体" w:hAnsi="宋体" w:eastAsia="宋体" w:cs="宋体"/>
          <w:b/>
          <w:bCs/>
          <w:color w:val="auto"/>
          <w:sz w:val="36"/>
          <w:szCs w:val="36"/>
          <w:highlight w:val="none"/>
          <w:u w:val="none"/>
          <w:lang w:val="en-US" w:eastAsia="zh-CN"/>
        </w:rPr>
      </w:pPr>
      <w:r>
        <w:rPr>
          <w:rFonts w:hint="eastAsia" w:ascii="宋体" w:hAnsi="宋体" w:cs="宋体"/>
          <w:b/>
          <w:bCs/>
          <w:color w:val="auto"/>
          <w:sz w:val="36"/>
          <w:szCs w:val="36"/>
          <w:highlight w:val="none"/>
          <w:lang w:val="en-US" w:eastAsia="zh-CN"/>
        </w:rPr>
        <w:t>中山市小榄人民医院污水站运营服务采购项目</w:t>
      </w:r>
    </w:p>
    <w:p>
      <w:pPr>
        <w:keepNext w:val="0"/>
        <w:keepLines w:val="0"/>
        <w:pageBreakBefore w:val="0"/>
        <w:widowControl/>
        <w:kinsoku/>
        <w:wordWrap/>
        <w:overflowPunct/>
        <w:topLinePunct w:val="0"/>
        <w:autoSpaceDE/>
        <w:autoSpaceDN/>
        <w:bidi w:val="0"/>
        <w:adjustRightInd/>
        <w:snapToGrid/>
        <w:spacing w:line="360" w:lineRule="auto"/>
        <w:ind w:firstLine="2168" w:firstLineChars="600"/>
        <w:jc w:val="left"/>
        <w:textAlignment w:val="auto"/>
        <w:rPr>
          <w:rFonts w:hint="default" w:ascii="宋体" w:hAnsi="宋体" w:eastAsia="宋体" w:cs="宋体"/>
          <w:b/>
          <w:bCs/>
          <w:color w:val="auto"/>
          <w:sz w:val="36"/>
          <w:szCs w:val="36"/>
          <w:highlight w:val="none"/>
          <w:u w:val="none"/>
          <w:lang w:val="en-US" w:eastAsia="zh-CN"/>
        </w:rPr>
      </w:pPr>
      <w:r>
        <w:rPr>
          <w:rFonts w:hint="eastAsia" w:ascii="宋体" w:hAnsi="宋体" w:eastAsia="宋体" w:cs="宋体"/>
          <w:b/>
          <w:bCs/>
          <w:color w:val="auto"/>
          <w:sz w:val="36"/>
          <w:szCs w:val="36"/>
          <w:highlight w:val="none"/>
          <w:u w:val="none"/>
          <w:lang w:val="en-US" w:eastAsia="zh-CN"/>
        </w:rPr>
        <w:t>项目编号：XLYY20230482</w:t>
      </w:r>
    </w:p>
    <w:p>
      <w:pPr>
        <w:widowControl/>
        <w:spacing w:line="360" w:lineRule="auto"/>
        <w:jc w:val="center"/>
        <w:rPr>
          <w:rFonts w:hint="eastAsia" w:ascii="宋体" w:hAnsi="宋体" w:eastAsia="宋体" w:cs="宋体"/>
          <w:b/>
          <w:color w:val="auto"/>
          <w:sz w:val="36"/>
          <w:szCs w:val="36"/>
          <w:highlight w:val="none"/>
        </w:rPr>
      </w:pPr>
    </w:p>
    <w:p>
      <w:pPr>
        <w:widowControl/>
        <w:spacing w:line="360" w:lineRule="auto"/>
        <w:jc w:val="center"/>
        <w:rPr>
          <w:rFonts w:hint="eastAsia" w:ascii="宋体" w:hAnsi="宋体" w:eastAsia="宋体" w:cs="宋体"/>
          <w:b/>
          <w:color w:val="auto"/>
          <w:sz w:val="36"/>
          <w:szCs w:val="36"/>
          <w:highlight w:val="none"/>
        </w:rPr>
      </w:pPr>
    </w:p>
    <w:p>
      <w:pPr>
        <w:widowControl/>
        <w:spacing w:line="360" w:lineRule="auto"/>
        <w:ind w:firstLine="420" w:firstLineChars="0"/>
        <w:jc w:val="both"/>
        <w:rPr>
          <w:rFonts w:hint="eastAsia" w:ascii="宋体" w:hAnsi="宋体" w:eastAsia="宋体" w:cs="宋体"/>
          <w:b/>
          <w:bCs/>
          <w:color w:val="auto"/>
          <w:sz w:val="36"/>
          <w:szCs w:val="36"/>
          <w:highlight w:val="none"/>
          <w:u w:val="single"/>
        </w:rPr>
      </w:pPr>
    </w:p>
    <w:p>
      <w:pPr>
        <w:pStyle w:val="2"/>
        <w:rPr>
          <w:rFonts w:hint="eastAsia" w:ascii="宋体" w:hAnsi="宋体" w:eastAsia="宋体" w:cs="宋体"/>
          <w:b/>
          <w:bCs/>
          <w:color w:val="auto"/>
          <w:sz w:val="36"/>
          <w:szCs w:val="36"/>
          <w:highlight w:val="none"/>
          <w:u w:val="single"/>
        </w:rPr>
      </w:pPr>
    </w:p>
    <w:p>
      <w:pPr>
        <w:pStyle w:val="3"/>
        <w:rPr>
          <w:rFonts w:hint="eastAsia" w:ascii="宋体" w:hAnsi="宋体" w:eastAsia="宋体" w:cs="宋体"/>
          <w:color w:val="auto"/>
          <w:sz w:val="36"/>
          <w:szCs w:val="36"/>
          <w:highlight w:val="none"/>
        </w:rPr>
      </w:pPr>
    </w:p>
    <w:p>
      <w:pPr>
        <w:spacing w:line="360" w:lineRule="auto"/>
        <w:jc w:val="both"/>
        <w:rPr>
          <w:rFonts w:hint="eastAsia" w:ascii="宋体" w:hAnsi="宋体" w:eastAsia="宋体" w:cs="宋体"/>
          <w:b/>
          <w:bCs/>
          <w:color w:val="auto"/>
          <w:sz w:val="36"/>
          <w:szCs w:val="36"/>
          <w:highlight w:val="none"/>
        </w:rPr>
      </w:pPr>
    </w:p>
    <w:p>
      <w:pPr>
        <w:spacing w:line="360" w:lineRule="auto"/>
        <w:jc w:val="center"/>
        <w:rPr>
          <w:rFonts w:hint="eastAsia" w:ascii="宋体" w:hAnsi="宋体" w:eastAsia="宋体" w:cs="宋体"/>
          <w:b/>
          <w:bCs/>
          <w:color w:val="auto"/>
          <w:sz w:val="36"/>
          <w:szCs w:val="36"/>
          <w:highlight w:val="none"/>
        </w:rPr>
      </w:pPr>
    </w:p>
    <w:p>
      <w:pPr>
        <w:tabs>
          <w:tab w:val="left" w:pos="0"/>
          <w:tab w:val="left" w:pos="426"/>
        </w:tabs>
        <w:wordWrap w:val="0"/>
        <w:spacing w:line="360" w:lineRule="auto"/>
        <w:ind w:firstLine="723" w:firstLineChars="200"/>
        <w:jc w:val="center"/>
        <w:rPr>
          <w:rFonts w:hint="eastAsia" w:ascii="宋体" w:hAnsi="宋体" w:eastAsia="宋体" w:cs="宋体"/>
          <w:b/>
          <w:color w:val="auto"/>
          <w:sz w:val="36"/>
          <w:szCs w:val="36"/>
          <w:highlight w:val="none"/>
          <w:lang w:eastAsia="zh-CN"/>
        </w:rPr>
      </w:pPr>
      <w:r>
        <w:rPr>
          <w:rFonts w:hint="eastAsia" w:ascii="宋体" w:hAnsi="宋体" w:eastAsia="宋体" w:cs="宋体"/>
          <w:b/>
          <w:bCs/>
          <w:color w:val="auto"/>
          <w:sz w:val="36"/>
          <w:szCs w:val="36"/>
          <w:highlight w:val="none"/>
        </w:rPr>
        <w:t>202</w:t>
      </w:r>
      <w:r>
        <w:rPr>
          <w:rFonts w:hint="eastAsia" w:ascii="宋体" w:hAnsi="宋体" w:cs="宋体"/>
          <w:b/>
          <w:bCs/>
          <w:color w:val="auto"/>
          <w:sz w:val="36"/>
          <w:szCs w:val="36"/>
          <w:highlight w:val="none"/>
          <w:lang w:val="en-US" w:eastAsia="zh-CN"/>
        </w:rPr>
        <w:t>3</w:t>
      </w:r>
      <w:r>
        <w:rPr>
          <w:rFonts w:hint="eastAsia" w:ascii="宋体" w:hAnsi="宋体" w:eastAsia="宋体" w:cs="宋体"/>
          <w:b/>
          <w:bCs/>
          <w:color w:val="auto"/>
          <w:sz w:val="36"/>
          <w:szCs w:val="36"/>
          <w:highlight w:val="none"/>
        </w:rPr>
        <w:t>年</w:t>
      </w:r>
      <w:r>
        <w:rPr>
          <w:rFonts w:hint="eastAsia" w:ascii="宋体" w:hAnsi="宋体" w:cs="宋体"/>
          <w:b/>
          <w:bCs/>
          <w:color w:val="auto"/>
          <w:sz w:val="36"/>
          <w:szCs w:val="36"/>
          <w:highlight w:val="none"/>
          <w:lang w:val="en-US" w:eastAsia="zh-CN"/>
        </w:rPr>
        <w:t>2</w:t>
      </w:r>
      <w:r>
        <w:rPr>
          <w:rFonts w:hint="eastAsia" w:ascii="宋体" w:hAnsi="宋体" w:eastAsia="宋体" w:cs="宋体"/>
          <w:b/>
          <w:bCs/>
          <w:color w:val="auto"/>
          <w:sz w:val="36"/>
          <w:szCs w:val="36"/>
          <w:highlight w:val="none"/>
        </w:rPr>
        <w:t>月</w:t>
      </w:r>
    </w:p>
    <w:p>
      <w:pPr>
        <w:spacing w:line="360" w:lineRule="auto"/>
        <w:jc w:val="both"/>
        <w:rPr>
          <w:rFonts w:hint="eastAsia" w:ascii="宋体" w:hAnsi="宋体" w:eastAsia="宋体" w:cs="宋体"/>
          <w:color w:val="auto"/>
          <w:sz w:val="24"/>
          <w:szCs w:val="24"/>
          <w:highlight w:val="none"/>
        </w:rPr>
      </w:pPr>
    </w:p>
    <w:p>
      <w:pPr>
        <w:spacing w:before="0" w:beforeLines="0" w:after="0" w:afterLines="0" w:line="240" w:lineRule="auto"/>
        <w:ind w:left="0" w:leftChars="0" w:right="0" w:rightChars="0" w:firstLine="0" w:firstLineChars="0"/>
        <w:jc w:val="both"/>
        <w:rPr>
          <w:rFonts w:hint="eastAsia" w:ascii="宋体" w:hAnsi="宋体" w:eastAsia="宋体" w:cs="宋体"/>
          <w:color w:val="auto"/>
          <w:kern w:val="2"/>
          <w:sz w:val="36"/>
          <w:szCs w:val="36"/>
          <w:highlight w:val="none"/>
          <w:lang w:val="en-US" w:eastAsia="zh-CN" w:bidi="ar-SA"/>
        </w:rPr>
      </w:pPr>
    </w:p>
    <w:sdt>
      <w:sdtPr>
        <w:rPr>
          <w:rFonts w:hint="eastAsia" w:ascii="宋体" w:hAnsi="宋体" w:eastAsia="宋体" w:cs="宋体"/>
          <w:b/>
          <w:bCs/>
          <w:color w:val="auto"/>
          <w:kern w:val="2"/>
          <w:sz w:val="48"/>
          <w:szCs w:val="48"/>
          <w:highlight w:val="none"/>
          <w:lang w:val="en-US" w:eastAsia="zh-CN" w:bidi="ar-SA"/>
        </w:rPr>
        <w:id w:val="147466740"/>
        <w15:color w:val="DBDBDB"/>
        <w:docPartObj>
          <w:docPartGallery w:val="Table of Contents"/>
          <w:docPartUnique/>
        </w:docPartObj>
      </w:sdtPr>
      <w:sdtEndPr>
        <w:rPr>
          <w:rFonts w:hint="eastAsia" w:ascii="宋体" w:hAnsi="宋体" w:eastAsia="宋体" w:cs="宋体"/>
          <w:b/>
          <w:bCs/>
          <w:color w:val="auto"/>
          <w:spacing w:val="40"/>
          <w:kern w:val="0"/>
          <w:sz w:val="24"/>
          <w:szCs w:val="24"/>
          <w:highlight w:val="none"/>
          <w:u w:val="single"/>
          <w:lang w:val="en-US" w:eastAsia="zh-CN" w:bidi="ar-SA"/>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t>目录</w:t>
          </w: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highlight w:val="none"/>
            </w:rPr>
          </w:pPr>
        </w:p>
        <w:p>
          <w:pPr>
            <w:pStyle w:val="10"/>
            <w:tabs>
              <w:tab w:val="right" w:leader="dot" w:pos="10546"/>
              <w:tab w:val="clear" w:pos="9540"/>
            </w:tabs>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_Toc24434 </w:instrText>
          </w:r>
          <w:r>
            <w:rPr>
              <w:rFonts w:hint="eastAsia" w:ascii="宋体" w:hAnsi="宋体" w:eastAsia="宋体" w:cs="宋体"/>
              <w:szCs w:val="24"/>
              <w:highlight w:val="none"/>
            </w:rPr>
            <w:fldChar w:fldCharType="separate"/>
          </w:r>
          <w:r>
            <w:rPr>
              <w:rFonts w:hint="eastAsia"/>
            </w:rPr>
            <w:t xml:space="preserve">第一部分  </w:t>
          </w:r>
          <w:r>
            <w:rPr>
              <w:rFonts w:hint="eastAsia"/>
              <w:lang w:eastAsia="zh-CN"/>
            </w:rPr>
            <w:t>谈判邀请函</w:t>
          </w:r>
          <w:r>
            <w:tab/>
          </w:r>
          <w:r>
            <w:fldChar w:fldCharType="begin"/>
          </w:r>
          <w:r>
            <w:instrText xml:space="preserve"> PAGEREF _Toc24434 \h </w:instrText>
          </w:r>
          <w:r>
            <w:fldChar w:fldCharType="separate"/>
          </w:r>
          <w:r>
            <w:t>3</w:t>
          </w:r>
          <w:r>
            <w:fldChar w:fldCharType="end"/>
          </w:r>
          <w:r>
            <w:rPr>
              <w:rFonts w:hint="eastAsia" w:ascii="宋体" w:hAnsi="宋体" w:eastAsia="宋体" w:cs="宋体"/>
              <w:color w:val="auto"/>
              <w:szCs w:val="24"/>
              <w:highlight w:val="none"/>
            </w:rPr>
            <w:fldChar w:fldCharType="end"/>
          </w:r>
        </w:p>
        <w:p>
          <w:pPr>
            <w:pStyle w:val="10"/>
            <w:tabs>
              <w:tab w:val="right" w:leader="dot" w:pos="10546"/>
              <w:tab w:val="clear" w:pos="954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_Toc12623 </w:instrText>
          </w:r>
          <w:r>
            <w:rPr>
              <w:rFonts w:hint="eastAsia" w:ascii="宋体" w:hAnsi="宋体" w:eastAsia="宋体" w:cs="宋体"/>
              <w:szCs w:val="24"/>
              <w:highlight w:val="none"/>
            </w:rPr>
            <w:fldChar w:fldCharType="separate"/>
          </w:r>
          <w:r>
            <w:rPr>
              <w:rFonts w:hint="eastAsia"/>
            </w:rPr>
            <w:t>第二部分　</w:t>
          </w:r>
          <w:r>
            <w:rPr>
              <w:rFonts w:hint="eastAsia"/>
              <w:lang w:eastAsia="zh-CN"/>
            </w:rPr>
            <w:t>采购需求书</w:t>
          </w:r>
          <w:r>
            <w:tab/>
          </w:r>
          <w:r>
            <w:fldChar w:fldCharType="begin"/>
          </w:r>
          <w:r>
            <w:instrText xml:space="preserve"> PAGEREF _Toc12623 \h </w:instrText>
          </w:r>
          <w:r>
            <w:fldChar w:fldCharType="separate"/>
          </w:r>
          <w:r>
            <w:t>7</w:t>
          </w:r>
          <w:r>
            <w:fldChar w:fldCharType="end"/>
          </w:r>
          <w:r>
            <w:rPr>
              <w:rFonts w:hint="eastAsia" w:ascii="宋体" w:hAnsi="宋体" w:eastAsia="宋体" w:cs="宋体"/>
              <w:color w:val="auto"/>
              <w:szCs w:val="24"/>
              <w:highlight w:val="none"/>
            </w:rPr>
            <w:fldChar w:fldCharType="end"/>
          </w:r>
        </w:p>
        <w:p>
          <w:pPr>
            <w:pStyle w:val="10"/>
            <w:tabs>
              <w:tab w:val="right" w:leader="dot" w:pos="10546"/>
              <w:tab w:val="clear" w:pos="954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_Toc32635 </w:instrText>
          </w:r>
          <w:r>
            <w:rPr>
              <w:rFonts w:hint="eastAsia" w:ascii="宋体" w:hAnsi="宋体" w:eastAsia="宋体" w:cs="宋体"/>
              <w:szCs w:val="24"/>
              <w:highlight w:val="none"/>
            </w:rPr>
            <w:fldChar w:fldCharType="separate"/>
          </w:r>
          <w:r>
            <w:rPr>
              <w:rFonts w:hint="eastAsia"/>
              <w:lang w:val="en-US" w:eastAsia="zh-CN"/>
            </w:rPr>
            <w:t>第三部分  评分标准</w:t>
          </w:r>
          <w:r>
            <w:tab/>
          </w:r>
          <w:r>
            <w:fldChar w:fldCharType="begin"/>
          </w:r>
          <w:r>
            <w:instrText xml:space="preserve"> PAGEREF _Toc32635 \h </w:instrText>
          </w:r>
          <w:r>
            <w:fldChar w:fldCharType="separate"/>
          </w:r>
          <w:r>
            <w:t>13</w:t>
          </w:r>
          <w:r>
            <w:fldChar w:fldCharType="end"/>
          </w:r>
          <w:r>
            <w:rPr>
              <w:rFonts w:hint="eastAsia" w:ascii="宋体" w:hAnsi="宋体" w:eastAsia="宋体" w:cs="宋体"/>
              <w:color w:val="auto"/>
              <w:szCs w:val="24"/>
              <w:highlight w:val="none"/>
            </w:rPr>
            <w:fldChar w:fldCharType="end"/>
          </w:r>
        </w:p>
        <w:p>
          <w:pPr>
            <w:pStyle w:val="10"/>
            <w:tabs>
              <w:tab w:val="right" w:leader="dot" w:pos="10546"/>
              <w:tab w:val="clear" w:pos="954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_Toc26271 </w:instrText>
          </w:r>
          <w:r>
            <w:rPr>
              <w:rFonts w:hint="eastAsia" w:ascii="宋体" w:hAnsi="宋体" w:eastAsia="宋体" w:cs="宋体"/>
              <w:szCs w:val="24"/>
              <w:highlight w:val="none"/>
            </w:rPr>
            <w:fldChar w:fldCharType="separate"/>
          </w:r>
          <w:r>
            <w:rPr>
              <w:rFonts w:hint="eastAsia"/>
            </w:rPr>
            <w:t>第</w:t>
          </w:r>
          <w:r>
            <w:rPr>
              <w:rFonts w:hint="eastAsia"/>
              <w:lang w:val="en-US" w:eastAsia="zh-CN"/>
            </w:rPr>
            <w:t>四</w:t>
          </w:r>
          <w:r>
            <w:rPr>
              <w:rFonts w:hint="eastAsia"/>
            </w:rPr>
            <w:t>部分　</w:t>
          </w:r>
          <w:r>
            <w:rPr>
              <w:rFonts w:hint="eastAsia"/>
              <w:lang w:val="en-US" w:eastAsia="zh-CN"/>
            </w:rPr>
            <w:t>报价文件格式</w:t>
          </w:r>
          <w:r>
            <w:tab/>
          </w:r>
          <w:r>
            <w:fldChar w:fldCharType="begin"/>
          </w:r>
          <w:r>
            <w:instrText xml:space="preserve"> PAGEREF _Toc26271 \h </w:instrText>
          </w:r>
          <w:r>
            <w:fldChar w:fldCharType="separate"/>
          </w:r>
          <w:r>
            <w:t>16</w:t>
          </w:r>
          <w:r>
            <w:fldChar w:fldCharType="end"/>
          </w:r>
          <w:r>
            <w:rPr>
              <w:rFonts w:hint="eastAsia" w:ascii="宋体" w:hAnsi="宋体" w:eastAsia="宋体" w:cs="宋体"/>
              <w:color w:val="auto"/>
              <w:szCs w:val="24"/>
              <w:highlight w:val="none"/>
            </w:rPr>
            <w:fldChar w:fldCharType="end"/>
          </w:r>
        </w:p>
        <w:p>
          <w:pPr>
            <w:pStyle w:val="11"/>
            <w:tabs>
              <w:tab w:val="left" w:pos="8163"/>
            </w:tabs>
            <w:bidi w:val="0"/>
            <w:rPr>
              <w:rFonts w:hint="eastAsia" w:ascii="宋体" w:hAnsi="宋体" w:eastAsia="宋体" w:cs="宋体"/>
              <w:color w:val="auto"/>
              <w:spacing w:val="40"/>
              <w:kern w:val="0"/>
              <w:sz w:val="24"/>
              <w:szCs w:val="24"/>
              <w:highlight w:val="none"/>
              <w:u w:val="single"/>
              <w:lang w:val="en-US" w:eastAsia="zh-CN" w:bidi="ar-SA"/>
            </w:rPr>
            <w:sectPr>
              <w:footerReference r:id="rId3" w:type="default"/>
              <w:pgSz w:w="11906" w:h="16838"/>
              <w:pgMar w:top="1440" w:right="680" w:bottom="1440" w:left="680" w:header="851" w:footer="992" w:gutter="0"/>
              <w:cols w:space="425" w:num="1"/>
              <w:docGrid w:type="lines" w:linePitch="312" w:charSpace="0"/>
            </w:sectPr>
          </w:pPr>
          <w:r>
            <w:rPr>
              <w:rFonts w:hint="eastAsia" w:ascii="宋体" w:hAnsi="宋体" w:eastAsia="宋体" w:cs="宋体"/>
              <w:color w:val="auto"/>
              <w:szCs w:val="24"/>
              <w:highlight w:val="none"/>
            </w:rPr>
            <w:fldChar w:fldCharType="end"/>
          </w:r>
        </w:p>
      </w:sdtContent>
    </w:sdt>
    <w:p>
      <w:pPr>
        <w:spacing w:line="360" w:lineRule="auto"/>
        <w:jc w:val="both"/>
        <w:rPr>
          <w:rFonts w:hint="eastAsia" w:ascii="宋体" w:hAnsi="宋体" w:eastAsia="宋体" w:cs="宋体"/>
          <w:color w:val="auto"/>
          <w:sz w:val="24"/>
          <w:szCs w:val="24"/>
          <w:highlight w:val="none"/>
        </w:rPr>
      </w:pPr>
    </w:p>
    <w:p>
      <w:pPr>
        <w:spacing w:line="360" w:lineRule="auto"/>
        <w:jc w:val="both"/>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rPr>
      </w:pPr>
    </w:p>
    <w:p>
      <w:pPr>
        <w:spacing w:line="360" w:lineRule="auto"/>
        <w:jc w:val="center"/>
        <w:rPr>
          <w:rFonts w:hint="eastAsia" w:ascii="宋体" w:hAnsi="宋体" w:eastAsia="宋体" w:cs="宋体"/>
          <w:color w:val="auto"/>
          <w:sz w:val="24"/>
          <w:szCs w:val="24"/>
          <w:highlight w:val="none"/>
        </w:rPr>
      </w:pPr>
    </w:p>
    <w:p>
      <w:pPr>
        <w:pStyle w:val="4"/>
        <w:bidi w:val="0"/>
        <w:jc w:val="center"/>
        <w:rPr>
          <w:rFonts w:hint="eastAsia"/>
          <w:lang w:eastAsia="zh-CN"/>
        </w:rPr>
      </w:pPr>
      <w:bookmarkStart w:id="0" w:name="_Toc26272340"/>
      <w:bookmarkStart w:id="1" w:name="_Toc24434"/>
      <w:r>
        <w:rPr>
          <w:rFonts w:hint="eastAsia"/>
        </w:rPr>
        <w:t xml:space="preserve">第一部分  </w:t>
      </w:r>
      <w:bookmarkEnd w:id="0"/>
      <w:r>
        <w:rPr>
          <w:rFonts w:hint="eastAsia"/>
          <w:lang w:eastAsia="zh-CN"/>
        </w:rPr>
        <w:t>谈判邀请函</w:t>
      </w:r>
      <w:bookmarkEnd w:id="1"/>
    </w:p>
    <w:p>
      <w:pPr>
        <w:spacing w:line="360" w:lineRule="auto"/>
        <w:rPr>
          <w:rFonts w:hint="eastAsia" w:ascii="宋体" w:hAnsi="宋体" w:eastAsia="宋体" w:cs="宋体"/>
          <w:color w:val="auto"/>
          <w:kern w:val="0"/>
          <w:sz w:val="24"/>
          <w:szCs w:val="24"/>
          <w:highlight w:val="none"/>
        </w:rPr>
      </w:pPr>
    </w:p>
    <w:p>
      <w:pPr>
        <w:adjustRightInd w:val="0"/>
        <w:snapToGrid w:val="0"/>
        <w:spacing w:line="360" w:lineRule="auto"/>
        <w:jc w:val="center"/>
        <w:rPr>
          <w:rFonts w:hint="eastAsia" w:ascii="宋体" w:hAnsi="宋体" w:eastAsia="宋体" w:cs="宋体"/>
          <w:b/>
          <w:color w:val="auto"/>
          <w:kern w:val="28"/>
          <w:sz w:val="24"/>
          <w:szCs w:val="24"/>
          <w:highlight w:val="none"/>
          <w:lang w:eastAsia="zh-CN"/>
        </w:rPr>
      </w:pPr>
      <w:r>
        <w:rPr>
          <w:rFonts w:hint="eastAsia" w:ascii="宋体" w:hAnsi="宋体" w:eastAsia="宋体" w:cs="宋体"/>
          <w:b/>
          <w:color w:val="auto"/>
          <w:kern w:val="28"/>
          <w:sz w:val="24"/>
          <w:szCs w:val="24"/>
          <w:highlight w:val="none"/>
        </w:rPr>
        <w:br w:type="page"/>
      </w:r>
      <w:r>
        <w:rPr>
          <w:rFonts w:hint="eastAsia" w:ascii="宋体" w:hAnsi="宋体" w:eastAsia="宋体" w:cs="宋体"/>
          <w:b/>
          <w:color w:val="auto"/>
          <w:kern w:val="28"/>
          <w:sz w:val="27"/>
          <w:szCs w:val="27"/>
          <w:highlight w:val="none"/>
        </w:rPr>
        <w:t xml:space="preserve">第一部分  </w:t>
      </w:r>
      <w:r>
        <w:rPr>
          <w:rFonts w:hint="eastAsia" w:ascii="宋体" w:hAnsi="宋体" w:eastAsia="宋体" w:cs="宋体"/>
          <w:b/>
          <w:color w:val="auto"/>
          <w:kern w:val="28"/>
          <w:sz w:val="27"/>
          <w:szCs w:val="27"/>
          <w:highlight w:val="none"/>
          <w:lang w:eastAsia="zh-CN"/>
        </w:rPr>
        <w:t>谈判邀请函</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一、项目基本情况</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1.项目名称：</w:t>
      </w:r>
      <w:r>
        <w:rPr>
          <w:rFonts w:hint="eastAsia" w:cs="宋体"/>
          <w:color w:val="auto"/>
          <w:sz w:val="24"/>
          <w:szCs w:val="24"/>
          <w:highlight w:val="none"/>
          <w:lang w:val="en-US" w:eastAsia="zh-CN"/>
        </w:rPr>
        <w:t>中山市小榄人民医院污水站运营服务</w:t>
      </w:r>
      <w:r>
        <w:rPr>
          <w:rFonts w:hint="eastAsia" w:ascii="宋体" w:hAnsi="宋体" w:eastAsia="宋体" w:cs="宋体"/>
          <w:color w:val="auto"/>
          <w:sz w:val="24"/>
          <w:szCs w:val="24"/>
          <w:highlight w:val="none"/>
        </w:rPr>
        <w:t>采购项目</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2.采购方式：院内谈判（综合评审最优）</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3.采购需求：</w:t>
      </w:r>
    </w:p>
    <w:tbl>
      <w:tblPr>
        <w:tblStyle w:val="14"/>
        <w:tblpPr w:leftFromText="180" w:rightFromText="180" w:vertAnchor="text" w:horzAnchor="page" w:tblpX="1845" w:tblpY="181"/>
        <w:tblOverlap w:val="never"/>
        <w:tblW w:w="83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758"/>
        <w:gridCol w:w="2937"/>
        <w:gridCol w:w="667"/>
        <w:gridCol w:w="1846"/>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8" w:hRule="atLeast"/>
        </w:trPr>
        <w:tc>
          <w:tcPr>
            <w:tcW w:w="758" w:type="dxa"/>
            <w:shd w:val="clear" w:color="auto" w:fill="F2F2F2"/>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2937" w:type="dxa"/>
            <w:shd w:val="clear" w:color="auto" w:fill="F2F2F2"/>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项目名称</w:t>
            </w:r>
          </w:p>
        </w:tc>
        <w:tc>
          <w:tcPr>
            <w:tcW w:w="667" w:type="dxa"/>
            <w:shd w:val="clear" w:color="auto" w:fill="F2F2F2"/>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w:t>
            </w:r>
          </w:p>
        </w:tc>
        <w:tc>
          <w:tcPr>
            <w:tcW w:w="1846" w:type="dxa"/>
            <w:shd w:val="clear" w:color="auto" w:fill="F2F2F2"/>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预算金额（元）</w:t>
            </w:r>
          </w:p>
        </w:tc>
        <w:tc>
          <w:tcPr>
            <w:tcW w:w="2125" w:type="dxa"/>
            <w:shd w:val="clear" w:color="auto" w:fill="F2F2F2"/>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3" w:hRule="atLeast"/>
        </w:trPr>
        <w:tc>
          <w:tcPr>
            <w:tcW w:w="758" w:type="dxa"/>
            <w:shd w:val="clear" w:color="auto" w:fill="FFFFFF"/>
            <w:noWrap/>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2937" w:type="dxa"/>
            <w:shd w:val="clear" w:color="auto" w:fill="FFFFFF"/>
            <w:noWrap/>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中山市小榄人民医院污水站运营服务</w:t>
            </w:r>
          </w:p>
        </w:tc>
        <w:tc>
          <w:tcPr>
            <w:tcW w:w="667" w:type="dxa"/>
            <w:shd w:val="clear" w:color="auto" w:fill="FFFFFF"/>
            <w:noWrap/>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1.5年</w:t>
            </w:r>
          </w:p>
        </w:tc>
        <w:tc>
          <w:tcPr>
            <w:tcW w:w="1846" w:type="dxa"/>
            <w:shd w:val="clear" w:color="auto" w:fill="FFFFFF"/>
            <w:noWrap/>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263304.00</w:t>
            </w:r>
          </w:p>
        </w:tc>
        <w:tc>
          <w:tcPr>
            <w:tcW w:w="2125" w:type="dxa"/>
            <w:shd w:val="clear" w:color="auto" w:fill="FFFFFF"/>
            <w:noWrap/>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采购需求详看</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《采购需求书》</w:t>
            </w:r>
          </w:p>
        </w:tc>
      </w:tr>
    </w:tbl>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b/>
          <w:bCs/>
          <w:color w:val="auto"/>
          <w:sz w:val="24"/>
          <w:szCs w:val="24"/>
          <w:highlight w:val="none"/>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二、供应商的资格要求</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1.具有合法的法人资格，并在法律、财务上与项目经办人不存在关联关系；</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2.报价设备或服务须在其法定营业范围内； </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3.提供有效的三证合一的营业执照、医疗器械经营许可证的副本原件； </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4.单位负责人为同一人或者存在直接控股、管理关系的不同供应商；不得参加同一合同项下的谈判活动。</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5.提供偏离情况响应表，必须完全满足带"★"号条款中要求。</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三、递交响应文件截止时间、递交方式</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递交响应文件截止时间：202</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rPr>
        <w:t>年</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rPr>
        <w:t>月</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rPr>
        <w:t>日17:00（北京时间）</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响应文件递交方式（方式①和方式②缺一不可）：</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①电子邮件：</w:t>
      </w:r>
      <w:r>
        <w:rPr>
          <w:rFonts w:hint="eastAsia" w:ascii="宋体" w:hAnsi="宋体" w:eastAsia="宋体" w:cs="宋体"/>
          <w:color w:val="auto"/>
          <w:sz w:val="24"/>
          <w:szCs w:val="24"/>
          <w:highlight w:val="none"/>
          <w:lang w:val="en-US" w:eastAsia="zh-CN"/>
        </w:rPr>
        <w:t>YXZB3787</w:t>
      </w:r>
      <w:r>
        <w:rPr>
          <w:rFonts w:hint="eastAsia" w:ascii="宋体" w:hAnsi="宋体" w:eastAsia="宋体" w:cs="宋体"/>
          <w:color w:val="auto"/>
          <w:sz w:val="24"/>
          <w:szCs w:val="24"/>
          <w:highlight w:val="none"/>
        </w:rPr>
        <w:t>@126.com</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②文件邮寄：</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收件人：</w:t>
      </w:r>
      <w:r>
        <w:rPr>
          <w:rFonts w:hint="eastAsia" w:ascii="宋体" w:hAnsi="宋体" w:eastAsia="宋体" w:cs="宋体"/>
          <w:color w:val="auto"/>
          <w:sz w:val="24"/>
          <w:szCs w:val="24"/>
          <w:highlight w:val="none"/>
          <w:lang w:val="en-US" w:eastAsia="zh-CN"/>
        </w:rPr>
        <w:t>吴</w:t>
      </w:r>
      <w:r>
        <w:rPr>
          <w:rFonts w:hint="eastAsia" w:ascii="宋体" w:hAnsi="宋体" w:eastAsia="宋体" w:cs="宋体"/>
          <w:color w:val="auto"/>
          <w:sz w:val="24"/>
          <w:szCs w:val="24"/>
          <w:highlight w:val="none"/>
        </w:rPr>
        <w:t>小姐</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收件电话：0760-88662120-</w:t>
      </w:r>
      <w:r>
        <w:rPr>
          <w:rFonts w:hint="eastAsia" w:ascii="宋体" w:hAnsi="宋体" w:eastAsia="宋体" w:cs="宋体"/>
          <w:color w:val="auto"/>
          <w:sz w:val="24"/>
          <w:szCs w:val="24"/>
          <w:highlight w:val="none"/>
          <w:lang w:val="en-US" w:eastAsia="zh-CN"/>
        </w:rPr>
        <w:t>1616</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收件地址：中山市小榄镇菊城大道中65号（小榄人民医院采购部）</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四、公告期限</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自本公告发布之日起五个工作日。</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五、响应文件要求</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请各供应商按照以下要求提供完整的响应文件（一式六份，一正五副），供采购人进行预审核：</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1.报价文件（详见</w:t>
      </w:r>
      <w:r>
        <w:rPr>
          <w:rFonts w:hint="eastAsia" w:ascii="宋体" w:hAnsi="宋体" w:eastAsia="宋体" w:cs="宋体"/>
          <w:color w:val="auto"/>
          <w:sz w:val="24"/>
          <w:szCs w:val="24"/>
          <w:highlight w:val="none"/>
          <w:lang w:val="en-US" w:eastAsia="zh-CN"/>
        </w:rPr>
        <w:t>谈判文件</w:t>
      </w:r>
      <w:r>
        <w:rPr>
          <w:rFonts w:hint="eastAsia" w:ascii="宋体" w:hAnsi="宋体" w:eastAsia="宋体" w:cs="宋体"/>
          <w:color w:val="auto"/>
          <w:sz w:val="24"/>
          <w:szCs w:val="24"/>
          <w:highlight w:val="none"/>
        </w:rPr>
        <w:t>第四部分）</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以上文件均需盖公章。</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六、预审通过后，采购人以电子邮件方式通知供应商进入下一阶段流程。</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七、其他补充事宜</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如纸质资料与电子资料存在不一致，以纸质盖章资料为准。</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本项目不接受联合体响应。</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递交响应文件截止前，需提供完整的响应文件供采购人预审，资料不全或不通过者，报名无效。</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八、监督部门</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联系人：曾老师</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联系电话：0760-88662120-1621</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址：中山市小榄镇菊城大道中65号内科大楼九楼纪委监察室</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中山市小榄人民医院</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r>
        <w:rPr>
          <w:rFonts w:hint="eastAsia" w:cs="宋体"/>
          <w:color w:val="auto"/>
          <w:sz w:val="24"/>
          <w:szCs w:val="24"/>
          <w:highlight w:val="none"/>
          <w:lang w:val="en-US" w:eastAsia="zh-CN"/>
        </w:rPr>
        <w:t>23</w:t>
      </w:r>
      <w:r>
        <w:rPr>
          <w:rFonts w:hint="eastAsia" w:ascii="宋体" w:hAnsi="宋体" w:eastAsia="宋体" w:cs="宋体"/>
          <w:color w:val="auto"/>
          <w:sz w:val="24"/>
          <w:szCs w:val="24"/>
          <w:highlight w:val="none"/>
        </w:rPr>
        <w:t>年</w:t>
      </w: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rPr>
        <w:t>月</w:t>
      </w:r>
      <w:r>
        <w:rPr>
          <w:rFonts w:hint="eastAsia" w:cs="宋体"/>
          <w:color w:val="auto"/>
          <w:sz w:val="24"/>
          <w:szCs w:val="24"/>
          <w:highlight w:val="none"/>
          <w:lang w:val="en-US" w:eastAsia="zh-CN"/>
        </w:rPr>
        <w:t>24</w:t>
      </w:r>
      <w:r>
        <w:rPr>
          <w:rFonts w:hint="eastAsia" w:ascii="宋体" w:hAnsi="宋体" w:eastAsia="宋体" w:cs="宋体"/>
          <w:color w:val="auto"/>
          <w:sz w:val="24"/>
          <w:szCs w:val="24"/>
          <w:highlight w:val="none"/>
        </w:rPr>
        <w:t>日</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spacing w:line="360" w:lineRule="auto"/>
        <w:jc w:val="center"/>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pStyle w:val="4"/>
        <w:bidi w:val="0"/>
        <w:jc w:val="center"/>
        <w:rPr>
          <w:rFonts w:hint="eastAsia"/>
          <w:lang w:eastAsia="zh-CN"/>
        </w:rPr>
      </w:pPr>
      <w:bookmarkStart w:id="2" w:name="_Toc26272341"/>
      <w:bookmarkStart w:id="3" w:name="_Toc12623"/>
      <w:r>
        <w:rPr>
          <w:rFonts w:hint="eastAsia"/>
        </w:rPr>
        <w:t>第二部分　</w:t>
      </w:r>
      <w:bookmarkEnd w:id="2"/>
      <w:r>
        <w:rPr>
          <w:rFonts w:hint="eastAsia"/>
          <w:lang w:eastAsia="zh-CN"/>
        </w:rPr>
        <w:t>采购需求书</w:t>
      </w:r>
      <w:bookmarkEnd w:id="3"/>
    </w:p>
    <w:p>
      <w:pPr>
        <w:pStyle w:val="7"/>
        <w:adjustRightInd w:val="0"/>
        <w:snapToGrid w:val="0"/>
        <w:spacing w:line="360" w:lineRule="auto"/>
        <w:jc w:val="center"/>
        <w:rPr>
          <w:rFonts w:hint="eastAsia" w:ascii="宋体" w:hAnsi="宋体" w:eastAsia="宋体" w:cs="宋体"/>
          <w:b/>
          <w:color w:val="auto"/>
          <w:sz w:val="24"/>
          <w:szCs w:val="24"/>
          <w:highlight w:val="none"/>
        </w:rPr>
      </w:pPr>
    </w:p>
    <w:p>
      <w:pPr>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br w:type="page"/>
      </w:r>
    </w:p>
    <w:p>
      <w:pPr>
        <w:keepNext w:val="0"/>
        <w:keepLines w:val="0"/>
        <w:pageBreakBefore w:val="0"/>
        <w:numPr>
          <w:ilvl w:val="0"/>
          <w:numId w:val="0"/>
        </w:numPr>
        <w:kinsoku/>
        <w:topLinePunct w:val="0"/>
        <w:bidi w:val="0"/>
        <w:spacing w:line="500" w:lineRule="exact"/>
        <w:jc w:val="center"/>
        <w:textAlignment w:val="auto"/>
        <w:rPr>
          <w:rFonts w:hint="eastAsia" w:ascii="宋体" w:hAnsi="宋体" w:eastAsia="宋体" w:cs="宋体"/>
          <w:b/>
          <w:color w:val="000000" w:themeColor="text1"/>
          <w:sz w:val="24"/>
          <w:highlight w:val="none"/>
          <w:lang w:val="en-US" w:eastAsia="zh-CN"/>
          <w14:textFill>
            <w14:solidFill>
              <w14:schemeClr w14:val="tx1"/>
            </w14:solidFill>
          </w14:textFill>
        </w:rPr>
      </w:pPr>
      <w:r>
        <w:rPr>
          <w:rFonts w:hint="eastAsia" w:ascii="宋体" w:hAnsi="宋体" w:eastAsia="宋体" w:cs="宋体"/>
          <w:b/>
          <w:color w:val="000000" w:themeColor="text1"/>
          <w:sz w:val="24"/>
          <w:highlight w:val="none"/>
          <w:lang w:val="en-US" w:eastAsia="zh-CN"/>
          <w14:textFill>
            <w14:solidFill>
              <w14:schemeClr w14:val="tx1"/>
            </w14:solidFill>
          </w14:textFill>
        </w:rPr>
        <w:t>采购需求书</w:t>
      </w:r>
    </w:p>
    <w:p>
      <w:pPr>
        <w:numPr>
          <w:ilvl w:val="0"/>
          <w:numId w:val="1"/>
        </w:numPr>
        <w:spacing w:line="440" w:lineRule="exact"/>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总则：</w:t>
      </w:r>
    </w:p>
    <w:p>
      <w:pPr>
        <w:numPr>
          <w:ilvl w:val="0"/>
          <w:numId w:val="2"/>
        </w:numPr>
        <w:spacing w:line="440" w:lineRule="exact"/>
        <w:ind w:left="425" w:leftChars="0" w:hanging="425" w:firstLineChars="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供应商</w:t>
      </w:r>
      <w:r>
        <w:rPr>
          <w:rFonts w:hint="eastAsia" w:ascii="宋体" w:hAnsi="宋体" w:eastAsia="宋体" w:cs="宋体"/>
          <w:color w:val="000000" w:themeColor="text1"/>
          <w:sz w:val="24"/>
          <w14:textFill>
            <w14:solidFill>
              <w14:schemeClr w14:val="tx1"/>
            </w14:solidFill>
          </w14:textFill>
        </w:rPr>
        <w:t>报价应包括标的设备（原装、全新合格的设备）、相关附件、配套设施、税费、运费、保险费、仓储费、安装调试、培训、质保等的全部费用，在项目实施过程中出现报价内容的任何遗漏，均由</w:t>
      </w:r>
      <w:r>
        <w:rPr>
          <w:rFonts w:hint="eastAsia" w:ascii="宋体" w:hAnsi="宋体" w:eastAsia="宋体" w:cs="宋体"/>
          <w:color w:val="000000" w:themeColor="text1"/>
          <w:sz w:val="24"/>
          <w:lang w:eastAsia="zh-CN"/>
          <w14:textFill>
            <w14:solidFill>
              <w14:schemeClr w14:val="tx1"/>
            </w14:solidFill>
          </w14:textFill>
        </w:rPr>
        <w:t>成交供应商</w:t>
      </w:r>
      <w:r>
        <w:rPr>
          <w:rFonts w:hint="eastAsia" w:ascii="宋体" w:hAnsi="宋体" w:eastAsia="宋体" w:cs="宋体"/>
          <w:color w:val="000000" w:themeColor="text1"/>
          <w:sz w:val="24"/>
          <w14:textFill>
            <w14:solidFill>
              <w14:schemeClr w14:val="tx1"/>
            </w14:solidFill>
          </w14:textFill>
        </w:rPr>
        <w:t>负责相关费用，采购人将不再支付任何费用。</w:t>
      </w:r>
    </w:p>
    <w:p>
      <w:pPr>
        <w:numPr>
          <w:ilvl w:val="0"/>
          <w:numId w:val="2"/>
        </w:numPr>
        <w:spacing w:line="440" w:lineRule="exact"/>
        <w:ind w:left="425" w:leftChars="0" w:hanging="425" w:firstLineChars="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谈判文件</w:t>
      </w:r>
      <w:r>
        <w:rPr>
          <w:rFonts w:hint="eastAsia" w:ascii="宋体" w:hAnsi="宋体" w:eastAsia="宋体" w:cs="宋体"/>
          <w:color w:val="000000" w:themeColor="text1"/>
          <w:sz w:val="24"/>
          <w14:textFill>
            <w14:solidFill>
              <w14:schemeClr w14:val="tx1"/>
            </w14:solidFill>
          </w14:textFill>
        </w:rPr>
        <w:t>中凡有“★”标识的内容条款为关键条款，</w:t>
      </w:r>
      <w:r>
        <w:rPr>
          <w:rFonts w:hint="eastAsia" w:ascii="宋体" w:hAnsi="宋体" w:eastAsia="宋体" w:cs="宋体"/>
          <w:color w:val="000000" w:themeColor="text1"/>
          <w:sz w:val="24"/>
          <w:lang w:eastAsia="zh-CN"/>
          <w14:textFill>
            <w14:solidFill>
              <w14:schemeClr w14:val="tx1"/>
            </w14:solidFill>
          </w14:textFill>
        </w:rPr>
        <w:t>供应商</w:t>
      </w:r>
      <w:r>
        <w:rPr>
          <w:rFonts w:hint="eastAsia" w:ascii="宋体" w:hAnsi="宋体" w:eastAsia="宋体" w:cs="宋体"/>
          <w:color w:val="000000" w:themeColor="text1"/>
          <w:sz w:val="24"/>
          <w14:textFill>
            <w14:solidFill>
              <w14:schemeClr w14:val="tx1"/>
            </w14:solidFill>
          </w14:textFill>
        </w:rPr>
        <w:t>必须对此作出回答并完全满足这些要求不可以出现任何负偏离，对这些关键条款的任何负偏离将视为无效</w:t>
      </w:r>
      <w:r>
        <w:rPr>
          <w:rFonts w:hint="eastAsia" w:ascii="宋体" w:hAnsi="宋体" w:eastAsia="宋体" w:cs="宋体"/>
          <w:color w:val="000000" w:themeColor="text1"/>
          <w:sz w:val="24"/>
          <w:lang w:eastAsia="zh-CN"/>
          <w14:textFill>
            <w14:solidFill>
              <w14:schemeClr w14:val="tx1"/>
            </w14:solidFill>
          </w14:textFill>
        </w:rPr>
        <w:t>报价</w:t>
      </w:r>
      <w:r>
        <w:rPr>
          <w:rFonts w:hint="eastAsia" w:ascii="宋体" w:hAnsi="宋体" w:eastAsia="宋体" w:cs="宋体"/>
          <w:color w:val="000000" w:themeColor="text1"/>
          <w:sz w:val="24"/>
          <w14:textFill>
            <w14:solidFill>
              <w14:schemeClr w14:val="tx1"/>
            </w14:solidFill>
          </w14:textFill>
        </w:rPr>
        <w:t>。加注“▲”的内容为重点评标项目，</w:t>
      </w:r>
      <w:r>
        <w:rPr>
          <w:rFonts w:hint="eastAsia" w:ascii="宋体" w:hAnsi="宋体" w:eastAsia="宋体" w:cs="宋体"/>
          <w:color w:val="000000" w:themeColor="text1"/>
          <w:sz w:val="24"/>
          <w:lang w:eastAsia="zh-CN"/>
          <w14:textFill>
            <w14:solidFill>
              <w14:schemeClr w14:val="tx1"/>
            </w14:solidFill>
          </w14:textFill>
        </w:rPr>
        <w:t>供应商</w:t>
      </w:r>
      <w:r>
        <w:rPr>
          <w:rFonts w:hint="eastAsia" w:ascii="宋体" w:hAnsi="宋体" w:eastAsia="宋体" w:cs="宋体"/>
          <w:color w:val="000000" w:themeColor="text1"/>
          <w:sz w:val="24"/>
          <w14:textFill>
            <w14:solidFill>
              <w14:schemeClr w14:val="tx1"/>
            </w14:solidFill>
          </w14:textFill>
        </w:rPr>
        <w:t>必须对该标识项目按照要求进行真实应答描述。</w:t>
      </w:r>
    </w:p>
    <w:p>
      <w:pPr>
        <w:numPr>
          <w:ilvl w:val="0"/>
          <w:numId w:val="2"/>
        </w:numPr>
        <w:spacing w:line="440" w:lineRule="exact"/>
        <w:ind w:left="425" w:leftChars="0" w:hanging="425" w:firstLineChars="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本项目不接受联合体、</w:t>
      </w:r>
      <w:r>
        <w:rPr>
          <w:rFonts w:hint="eastAsia" w:ascii="宋体" w:hAnsi="宋体" w:eastAsia="宋体" w:cs="宋体"/>
          <w:color w:val="000000" w:themeColor="text1"/>
          <w:sz w:val="24"/>
          <w:lang w:eastAsia="zh-CN"/>
          <w14:textFill>
            <w14:solidFill>
              <w14:schemeClr w14:val="tx1"/>
            </w14:solidFill>
          </w14:textFill>
        </w:rPr>
        <w:t>成交供应商</w:t>
      </w:r>
      <w:r>
        <w:rPr>
          <w:rFonts w:hint="eastAsia" w:ascii="宋体" w:hAnsi="宋体" w:eastAsia="宋体" w:cs="宋体"/>
          <w:color w:val="000000" w:themeColor="text1"/>
          <w:sz w:val="24"/>
          <w14:textFill>
            <w14:solidFill>
              <w14:schemeClr w14:val="tx1"/>
            </w14:solidFill>
          </w14:textFill>
        </w:rPr>
        <w:t>不得以任何方式转包本项目。</w:t>
      </w:r>
    </w:p>
    <w:p>
      <w:pPr>
        <w:numPr>
          <w:ilvl w:val="0"/>
          <w:numId w:val="2"/>
        </w:numPr>
        <w:spacing w:line="440" w:lineRule="exact"/>
        <w:ind w:left="425" w:leftChars="0" w:hanging="425" w:firstLineChars="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单位负责人为同一人或者存在直接控股、关联关系的不同</w:t>
      </w:r>
      <w:r>
        <w:rPr>
          <w:rFonts w:hint="eastAsia" w:ascii="宋体" w:hAnsi="宋体" w:eastAsia="宋体" w:cs="宋体"/>
          <w:color w:val="000000" w:themeColor="text1"/>
          <w:sz w:val="24"/>
          <w:lang w:eastAsia="zh-CN"/>
          <w14:textFill>
            <w14:solidFill>
              <w14:schemeClr w14:val="tx1"/>
            </w14:solidFill>
          </w14:textFill>
        </w:rPr>
        <w:t>供应商</w:t>
      </w:r>
      <w:r>
        <w:rPr>
          <w:rFonts w:hint="eastAsia" w:ascii="宋体" w:hAnsi="宋体" w:eastAsia="宋体" w:cs="宋体"/>
          <w:color w:val="000000" w:themeColor="text1"/>
          <w:sz w:val="24"/>
          <w14:textFill>
            <w14:solidFill>
              <w14:schemeClr w14:val="tx1"/>
            </w14:solidFill>
          </w14:textFill>
        </w:rPr>
        <w:t>，不得参加同一合同项下的</w:t>
      </w:r>
      <w:r>
        <w:rPr>
          <w:rFonts w:hint="eastAsia" w:ascii="宋体" w:hAnsi="宋体" w:eastAsia="宋体" w:cs="宋体"/>
          <w:color w:val="000000" w:themeColor="text1"/>
          <w:sz w:val="24"/>
          <w:lang w:eastAsia="zh-CN"/>
          <w14:textFill>
            <w14:solidFill>
              <w14:schemeClr w14:val="tx1"/>
            </w14:solidFill>
          </w14:textFill>
        </w:rPr>
        <w:t>谈判</w:t>
      </w:r>
      <w:r>
        <w:rPr>
          <w:rFonts w:hint="eastAsia" w:ascii="宋体" w:hAnsi="宋体" w:eastAsia="宋体" w:cs="宋体"/>
          <w:color w:val="000000" w:themeColor="text1"/>
          <w:sz w:val="24"/>
          <w14:textFill>
            <w14:solidFill>
              <w14:schemeClr w14:val="tx1"/>
            </w14:solidFill>
          </w14:textFill>
        </w:rPr>
        <w:t>活动。</w:t>
      </w:r>
    </w:p>
    <w:p>
      <w:pPr>
        <w:numPr>
          <w:ilvl w:val="0"/>
          <w:numId w:val="1"/>
        </w:numPr>
        <w:spacing w:line="440" w:lineRule="exact"/>
        <w:rPr>
          <w:rFonts w:hint="eastAsia" w:ascii="宋体" w:hAnsi="宋体" w:eastAsia="宋体" w:cs="宋体"/>
          <w:b/>
          <w:color w:val="000000" w:themeColor="text1"/>
          <w:sz w:val="24"/>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项目内容</w:t>
      </w:r>
    </w:p>
    <w:p>
      <w:pPr>
        <w:numPr>
          <w:ilvl w:val="0"/>
          <w:numId w:val="3"/>
        </w:numPr>
        <w:spacing w:line="440" w:lineRule="exact"/>
        <w:ind w:leftChars="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包组名称：中山市小榄人民医院污水处理日常运营管理。</w:t>
      </w:r>
    </w:p>
    <w:p>
      <w:pPr>
        <w:numPr>
          <w:ilvl w:val="0"/>
          <w:numId w:val="3"/>
        </w:numPr>
        <w:spacing w:line="440" w:lineRule="exact"/>
        <w:ind w:left="0" w:leftChars="0" w:firstLine="0" w:firstLineChars="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服务合同期限：1.5年。</w:t>
      </w:r>
    </w:p>
    <w:p>
      <w:pPr>
        <w:numPr>
          <w:ilvl w:val="0"/>
          <w:numId w:val="3"/>
        </w:numPr>
        <w:spacing w:line="440" w:lineRule="exact"/>
        <w:ind w:left="0" w:leftChars="0" w:firstLine="0" w:firstLineChars="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服务地点：中山市小榄人民医院污水处理站(菊城大道中65号)；</w:t>
      </w:r>
    </w:p>
    <w:p>
      <w:pPr>
        <w:numPr>
          <w:ilvl w:val="0"/>
          <w:numId w:val="3"/>
        </w:numPr>
        <w:spacing w:line="440" w:lineRule="exact"/>
        <w:ind w:left="0" w:leftChars="0" w:firstLine="0" w:firstLineChars="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服务时间：全年365天，每天10小时，（晚上21:00～次日7:00）。</w:t>
      </w:r>
    </w:p>
    <w:p>
      <w:pPr>
        <w:numPr>
          <w:ilvl w:val="0"/>
          <w:numId w:val="3"/>
        </w:numPr>
        <w:spacing w:line="440" w:lineRule="exact"/>
        <w:ind w:left="0" w:leftChars="0" w:firstLine="0" w:firstLineChars="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岗位及人员配置：1个岗，2个人。</w:t>
      </w:r>
    </w:p>
    <w:p>
      <w:pPr>
        <w:numPr>
          <w:ilvl w:val="0"/>
          <w:numId w:val="3"/>
        </w:numPr>
        <w:spacing w:line="440" w:lineRule="exact"/>
        <w:ind w:left="0" w:leftChars="0" w:firstLine="0" w:firstLineChars="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项目预算：</w:t>
      </w:r>
      <w:r>
        <w:rPr>
          <w:rFonts w:hint="eastAsia" w:ascii="宋体" w:hAnsi="宋体" w:eastAsia="宋体" w:cs="宋体"/>
          <w:color w:val="000000" w:themeColor="text1"/>
          <w:sz w:val="24"/>
          <w:lang w:val="en-US" w:eastAsia="zh-CN"/>
          <w14:textFill>
            <w14:solidFill>
              <w14:schemeClr w14:val="tx1"/>
            </w14:solidFill>
          </w14:textFill>
        </w:rPr>
        <w:t>263304.00</w:t>
      </w:r>
      <w:r>
        <w:rPr>
          <w:rFonts w:hint="eastAsia" w:ascii="宋体" w:hAnsi="宋体" w:eastAsia="宋体" w:cs="宋体"/>
          <w:color w:val="000000" w:themeColor="text1"/>
          <w:sz w:val="24"/>
          <w14:textFill>
            <w14:solidFill>
              <w14:schemeClr w14:val="tx1"/>
            </w14:solidFill>
          </w14:textFill>
        </w:rPr>
        <w:t>元。</w:t>
      </w:r>
    </w:p>
    <w:p>
      <w:pPr>
        <w:numPr>
          <w:ilvl w:val="0"/>
          <w:numId w:val="1"/>
        </w:numPr>
        <w:spacing w:line="440" w:lineRule="exact"/>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采购项目内容：</w:t>
      </w:r>
    </w:p>
    <w:p>
      <w:pPr>
        <w:pStyle w:val="7"/>
        <w:numPr>
          <w:numId w:val="0"/>
        </w:numPr>
        <w:tabs>
          <w:tab w:val="left" w:pos="567"/>
        </w:tabs>
        <w:adjustRightInd w:val="0"/>
        <w:snapToGrid w:val="0"/>
        <w:spacing w:line="360" w:lineRule="auto"/>
        <w:ind w:leftChars="0"/>
        <w:rPr>
          <w:rFonts w:hAnsi="宋体" w:cs="宋体"/>
          <w:b/>
          <w:color w:val="000000"/>
          <w:sz w:val="24"/>
          <w:szCs w:val="24"/>
          <w:highlight w:val="none"/>
        </w:rPr>
      </w:pPr>
      <w:r>
        <w:rPr>
          <w:rFonts w:hint="eastAsia" w:hAnsi="宋体" w:cs="宋体"/>
          <w:b/>
          <w:color w:val="000000"/>
          <w:sz w:val="24"/>
          <w:szCs w:val="24"/>
          <w:highlight w:val="none"/>
          <w:lang w:eastAsia="zh-CN"/>
        </w:rPr>
        <w:t>（</w:t>
      </w:r>
      <w:r>
        <w:rPr>
          <w:rFonts w:hint="eastAsia" w:hAnsi="宋体" w:cs="宋体"/>
          <w:b/>
          <w:color w:val="000000"/>
          <w:sz w:val="24"/>
          <w:szCs w:val="24"/>
          <w:highlight w:val="none"/>
          <w:lang w:val="en-US" w:eastAsia="zh-CN"/>
        </w:rPr>
        <w:t>一</w:t>
      </w:r>
      <w:r>
        <w:rPr>
          <w:rFonts w:hint="eastAsia" w:hAnsi="宋体" w:cs="宋体"/>
          <w:b/>
          <w:color w:val="000000"/>
          <w:sz w:val="24"/>
          <w:szCs w:val="24"/>
          <w:highlight w:val="none"/>
          <w:lang w:eastAsia="zh-CN"/>
        </w:rPr>
        <w:t>）</w:t>
      </w:r>
      <w:r>
        <w:rPr>
          <w:rFonts w:hint="eastAsia" w:hAnsi="宋体" w:cs="宋体"/>
          <w:b/>
          <w:color w:val="000000"/>
          <w:sz w:val="24"/>
          <w:szCs w:val="24"/>
          <w:highlight w:val="none"/>
        </w:rPr>
        <w:t>污水排放与处理设施概况</w:t>
      </w:r>
    </w:p>
    <w:p>
      <w:pPr>
        <w:spacing w:line="360" w:lineRule="auto"/>
        <w:ind w:firstLine="480" w:firstLineChars="200"/>
        <w:rPr>
          <w:rFonts w:hint="eastAsia" w:ascii="Times New Roman" w:hAnsi="宋体" w:eastAsia="宋体" w:cs="宋体"/>
          <w:b w:val="0"/>
          <w:bCs w:val="0"/>
          <w:color w:val="000000"/>
          <w:kern w:val="2"/>
          <w:sz w:val="24"/>
          <w:szCs w:val="24"/>
          <w:lang w:val="en-GB" w:eastAsia="zh-CN" w:bidi="ar-SA"/>
        </w:rPr>
      </w:pPr>
      <w:r>
        <w:rPr>
          <w:rFonts w:hint="eastAsia" w:ascii="Times New Roman" w:hAnsi="宋体" w:eastAsia="宋体" w:cs="宋体"/>
          <w:b w:val="0"/>
          <w:bCs w:val="0"/>
          <w:color w:val="000000"/>
          <w:kern w:val="2"/>
          <w:sz w:val="24"/>
          <w:szCs w:val="24"/>
          <w:lang w:val="en-GB" w:eastAsia="zh-CN" w:bidi="ar-SA"/>
        </w:rPr>
        <w:t>1.中山市小榄人民医院污水排放概况</w:t>
      </w:r>
    </w:p>
    <w:p>
      <w:pPr>
        <w:spacing w:line="360" w:lineRule="auto"/>
        <w:ind w:firstLine="480" w:firstLineChars="200"/>
        <w:rPr>
          <w:rFonts w:hint="eastAsia" w:ascii="Times New Roman" w:hAnsi="宋体" w:eastAsia="宋体" w:cs="宋体"/>
          <w:b w:val="0"/>
          <w:bCs w:val="0"/>
          <w:color w:val="000000"/>
          <w:kern w:val="2"/>
          <w:sz w:val="24"/>
          <w:szCs w:val="24"/>
          <w:lang w:val="en-GB" w:eastAsia="zh-CN" w:bidi="ar-SA"/>
        </w:rPr>
      </w:pPr>
      <w:r>
        <w:rPr>
          <w:rFonts w:hint="eastAsia" w:ascii="Times New Roman" w:hAnsi="宋体" w:eastAsia="宋体" w:cs="宋体"/>
          <w:b w:val="0"/>
          <w:bCs w:val="0"/>
          <w:color w:val="000000"/>
          <w:kern w:val="2"/>
          <w:sz w:val="24"/>
          <w:szCs w:val="24"/>
          <w:lang w:val="en-GB" w:eastAsia="zh-CN" w:bidi="ar-SA"/>
        </w:rPr>
        <w:t>（1）排放量：最高1930吨/日</w:t>
      </w:r>
    </w:p>
    <w:p>
      <w:pPr>
        <w:spacing w:line="360" w:lineRule="auto"/>
        <w:ind w:firstLine="480" w:firstLineChars="200"/>
        <w:rPr>
          <w:rFonts w:hint="eastAsia" w:ascii="Times New Roman" w:hAnsi="宋体" w:eastAsia="宋体" w:cs="宋体"/>
          <w:b w:val="0"/>
          <w:bCs w:val="0"/>
          <w:color w:val="000000"/>
          <w:kern w:val="2"/>
          <w:sz w:val="24"/>
          <w:szCs w:val="24"/>
          <w:lang w:val="en-GB" w:eastAsia="zh-CN" w:bidi="ar-SA"/>
        </w:rPr>
      </w:pPr>
      <w:r>
        <w:rPr>
          <w:rFonts w:hint="eastAsia" w:ascii="Times New Roman" w:hAnsi="宋体" w:eastAsia="宋体" w:cs="宋体"/>
          <w:b w:val="0"/>
          <w:bCs w:val="0"/>
          <w:color w:val="000000"/>
          <w:kern w:val="2"/>
          <w:sz w:val="24"/>
          <w:szCs w:val="24"/>
          <w:lang w:val="en-GB" w:eastAsia="zh-CN" w:bidi="ar-SA"/>
        </w:rPr>
        <w:t>（2）排放污水水质：由采购人自行检测；</w:t>
      </w:r>
    </w:p>
    <w:p>
      <w:pPr>
        <w:spacing w:line="360" w:lineRule="auto"/>
        <w:ind w:firstLine="480" w:firstLineChars="200"/>
        <w:rPr>
          <w:rFonts w:hint="eastAsia" w:ascii="Times New Roman" w:hAnsi="宋体" w:eastAsia="宋体" w:cs="宋体"/>
          <w:b w:val="0"/>
          <w:bCs w:val="0"/>
          <w:color w:val="000000"/>
          <w:kern w:val="2"/>
          <w:sz w:val="24"/>
          <w:szCs w:val="24"/>
          <w:lang w:val="en-GB" w:eastAsia="zh-CN" w:bidi="ar-SA"/>
        </w:rPr>
      </w:pPr>
      <w:r>
        <w:rPr>
          <w:rFonts w:hint="eastAsia" w:ascii="Times New Roman" w:hAnsi="宋体" w:eastAsia="宋体" w:cs="宋体"/>
          <w:b w:val="0"/>
          <w:bCs w:val="0"/>
          <w:color w:val="000000"/>
          <w:kern w:val="2"/>
          <w:sz w:val="24"/>
          <w:szCs w:val="24"/>
          <w:lang w:val="en-GB" w:eastAsia="zh-CN" w:bidi="ar-SA"/>
        </w:rPr>
        <w:t>2.中山市小榄人民医院污水处理站概况</w:t>
      </w:r>
    </w:p>
    <w:p>
      <w:pPr>
        <w:spacing w:line="360" w:lineRule="auto"/>
        <w:ind w:firstLine="480" w:firstLineChars="200"/>
        <w:rPr>
          <w:rFonts w:hint="eastAsia" w:ascii="Times New Roman" w:hAnsi="宋体" w:eastAsia="宋体" w:cs="宋体"/>
          <w:b w:val="0"/>
          <w:bCs w:val="0"/>
          <w:color w:val="000000"/>
          <w:kern w:val="2"/>
          <w:sz w:val="24"/>
          <w:szCs w:val="24"/>
          <w:lang w:val="en-GB" w:eastAsia="zh-CN" w:bidi="ar-SA"/>
        </w:rPr>
      </w:pPr>
      <w:r>
        <w:rPr>
          <w:rFonts w:hint="eastAsia" w:ascii="Times New Roman" w:hAnsi="宋体" w:eastAsia="宋体" w:cs="宋体"/>
          <w:b w:val="0"/>
          <w:bCs w:val="0"/>
          <w:color w:val="000000"/>
          <w:kern w:val="2"/>
          <w:sz w:val="24"/>
          <w:szCs w:val="24"/>
          <w:lang w:val="en-GB" w:eastAsia="zh-CN" w:bidi="ar-SA"/>
        </w:rPr>
        <w:t>（1）污水设计处理能力：1930吨/日；</w:t>
      </w:r>
    </w:p>
    <w:p>
      <w:pPr>
        <w:spacing w:line="360" w:lineRule="auto"/>
        <w:ind w:firstLine="480" w:firstLineChars="200"/>
        <w:rPr>
          <w:rFonts w:hint="eastAsia" w:ascii="Times New Roman" w:hAnsi="宋体" w:eastAsia="宋体" w:cs="宋体"/>
          <w:b w:val="0"/>
          <w:bCs w:val="0"/>
          <w:color w:val="000000"/>
          <w:kern w:val="2"/>
          <w:sz w:val="24"/>
          <w:szCs w:val="24"/>
          <w:lang w:val="en-GB" w:eastAsia="zh-CN" w:bidi="ar-SA"/>
        </w:rPr>
      </w:pPr>
      <w:r>
        <w:rPr>
          <w:rFonts w:hint="eastAsia" w:ascii="Times New Roman" w:hAnsi="宋体" w:eastAsia="宋体" w:cs="宋体"/>
          <w:b w:val="0"/>
          <w:bCs w:val="0"/>
          <w:color w:val="000000"/>
          <w:kern w:val="2"/>
          <w:sz w:val="24"/>
          <w:szCs w:val="24"/>
          <w:lang w:val="en-GB" w:eastAsia="zh-CN" w:bidi="ar-SA"/>
        </w:rPr>
        <w:t>（2）污水处理主要工艺：废水－格栅－调节沉淀池--消毒池－排入城市污水管网进入污水处理厂。</w:t>
      </w:r>
    </w:p>
    <w:p>
      <w:pPr>
        <w:spacing w:line="360" w:lineRule="auto"/>
        <w:ind w:firstLine="480" w:firstLineChars="200"/>
        <w:rPr>
          <w:rFonts w:hint="eastAsia" w:ascii="Times New Roman" w:hAnsi="宋体" w:eastAsia="宋体" w:cs="宋体"/>
          <w:b w:val="0"/>
          <w:bCs w:val="0"/>
          <w:color w:val="000000"/>
          <w:kern w:val="2"/>
          <w:sz w:val="24"/>
          <w:szCs w:val="24"/>
          <w:lang w:val="en-GB" w:eastAsia="zh-CN" w:bidi="ar-SA"/>
        </w:rPr>
      </w:pPr>
      <w:r>
        <w:rPr>
          <w:rFonts w:hint="eastAsia" w:ascii="Times New Roman" w:hAnsi="宋体" w:eastAsia="宋体" w:cs="宋体"/>
          <w:b w:val="0"/>
          <w:bCs w:val="0"/>
          <w:color w:val="000000"/>
          <w:kern w:val="2"/>
          <w:sz w:val="24"/>
          <w:szCs w:val="24"/>
          <w:lang w:val="en-GB" w:eastAsia="zh-CN" w:bidi="ar-SA"/>
        </w:rPr>
        <w:t>（3）污水排放执行标准：《医疗机构水污染物排放标准》(GB18466-2005)表2预处理标准。</w:t>
      </w:r>
    </w:p>
    <w:p>
      <w:pPr>
        <w:pStyle w:val="7"/>
        <w:tabs>
          <w:tab w:val="left" w:pos="567"/>
        </w:tabs>
        <w:adjustRightInd w:val="0"/>
        <w:snapToGrid w:val="0"/>
        <w:spacing w:line="360" w:lineRule="auto"/>
        <w:rPr>
          <w:rFonts w:hAnsi="宋体" w:cs="宋体"/>
          <w:b/>
          <w:color w:val="000000"/>
          <w:sz w:val="24"/>
          <w:szCs w:val="24"/>
        </w:rPr>
      </w:pPr>
    </w:p>
    <w:p>
      <w:pPr>
        <w:pStyle w:val="7"/>
        <w:tabs>
          <w:tab w:val="left" w:pos="567"/>
        </w:tabs>
        <w:adjustRightInd w:val="0"/>
        <w:snapToGrid w:val="0"/>
        <w:spacing w:line="360" w:lineRule="auto"/>
        <w:rPr>
          <w:rFonts w:hAnsi="宋体" w:cs="宋体"/>
          <w:b/>
          <w:color w:val="000000"/>
          <w:sz w:val="24"/>
          <w:szCs w:val="24"/>
        </w:rPr>
      </w:pPr>
      <w:r>
        <w:rPr>
          <w:rFonts w:hint="eastAsia" w:hAnsi="宋体" w:cs="宋体"/>
          <w:b/>
          <w:color w:val="000000"/>
          <w:sz w:val="24"/>
          <w:szCs w:val="24"/>
          <w:highlight w:val="none"/>
          <w:lang w:eastAsia="zh-CN"/>
        </w:rPr>
        <w:t>（</w:t>
      </w:r>
      <w:r>
        <w:rPr>
          <w:rFonts w:hint="eastAsia" w:hAnsi="宋体" w:cs="宋体"/>
          <w:b/>
          <w:color w:val="000000"/>
          <w:sz w:val="24"/>
          <w:szCs w:val="24"/>
          <w:highlight w:val="none"/>
          <w:lang w:val="en-US" w:eastAsia="zh-CN"/>
        </w:rPr>
        <w:t>二</w:t>
      </w:r>
      <w:r>
        <w:rPr>
          <w:rFonts w:hint="eastAsia" w:hAnsi="宋体" w:cs="宋体"/>
          <w:b/>
          <w:color w:val="000000"/>
          <w:sz w:val="24"/>
          <w:szCs w:val="24"/>
          <w:highlight w:val="none"/>
          <w:lang w:eastAsia="zh-CN"/>
        </w:rPr>
        <w:t>）</w:t>
      </w:r>
      <w:r>
        <w:rPr>
          <w:rFonts w:hint="eastAsia" w:hAnsi="宋体" w:cs="宋体"/>
          <w:b/>
          <w:color w:val="000000"/>
          <w:sz w:val="24"/>
          <w:szCs w:val="24"/>
        </w:rPr>
        <w:t>服务内容</w:t>
      </w:r>
    </w:p>
    <w:p>
      <w:pPr>
        <w:spacing w:line="360" w:lineRule="auto"/>
        <w:ind w:firstLine="480" w:firstLineChars="200"/>
        <w:rPr>
          <w:rFonts w:hint="eastAsia" w:ascii="Times New Roman" w:hAnsi="宋体" w:eastAsia="宋体" w:cs="宋体"/>
          <w:b w:val="0"/>
          <w:bCs w:val="0"/>
          <w:color w:val="000000"/>
          <w:kern w:val="2"/>
          <w:sz w:val="24"/>
          <w:szCs w:val="24"/>
          <w:lang w:val="en-GB" w:eastAsia="zh-CN" w:bidi="ar-SA"/>
        </w:rPr>
      </w:pPr>
      <w:r>
        <w:rPr>
          <w:rFonts w:hint="eastAsia" w:ascii="Times New Roman" w:hAnsi="宋体" w:eastAsia="宋体" w:cs="宋体"/>
          <w:b w:val="0"/>
          <w:bCs w:val="0"/>
          <w:color w:val="000000"/>
          <w:kern w:val="2"/>
          <w:sz w:val="24"/>
          <w:szCs w:val="24"/>
          <w:lang w:val="en-GB" w:eastAsia="zh-CN" w:bidi="ar-SA"/>
        </w:rPr>
        <w:t>1.污水站的运营管理：根据国家及省、市环境保护有关污水处理、污水排放的有关规定，按照污水处理设备的操作指引，成交供应商向采购人提供污水站运营</w:t>
      </w:r>
      <w:r>
        <w:rPr>
          <w:rFonts w:hint="eastAsia" w:ascii="Times New Roman" w:hAnsi="宋体" w:eastAsia="宋体" w:cs="宋体"/>
          <w:b w:val="0"/>
          <w:bCs w:val="0"/>
          <w:color w:val="000000"/>
          <w:kern w:val="2"/>
          <w:sz w:val="24"/>
          <w:szCs w:val="24"/>
          <w:lang w:val="en-US" w:eastAsia="zh-CN" w:bidi="ar-SA"/>
        </w:rPr>
        <w:t>管理</w:t>
      </w:r>
      <w:r>
        <w:rPr>
          <w:rFonts w:hint="eastAsia" w:ascii="Times New Roman" w:hAnsi="宋体" w:eastAsia="宋体" w:cs="宋体"/>
          <w:b w:val="0"/>
          <w:bCs w:val="0"/>
          <w:color w:val="000000"/>
          <w:kern w:val="2"/>
          <w:sz w:val="24"/>
          <w:szCs w:val="24"/>
          <w:lang w:val="en-GB" w:eastAsia="zh-CN" w:bidi="ar-SA"/>
        </w:rPr>
        <w:t>服务，运营服务的时间为：</w:t>
      </w:r>
      <w:r>
        <w:rPr>
          <w:rFonts w:hint="eastAsia" w:ascii="Times New Roman" w:hAnsi="宋体" w:eastAsia="宋体" w:cs="宋体"/>
          <w:b w:val="0"/>
          <w:bCs w:val="0"/>
          <w:color w:val="000000"/>
          <w:kern w:val="2"/>
          <w:sz w:val="24"/>
          <w:szCs w:val="24"/>
          <w:lang w:val="en-US" w:eastAsia="zh-CN" w:bidi="ar-SA"/>
        </w:rPr>
        <w:t>全年</w:t>
      </w:r>
      <w:r>
        <w:rPr>
          <w:rFonts w:hint="eastAsia" w:ascii="Times New Roman" w:hAnsi="宋体" w:eastAsia="宋体" w:cs="宋体"/>
          <w:b w:val="0"/>
          <w:bCs w:val="0"/>
          <w:color w:val="000000"/>
          <w:kern w:val="2"/>
          <w:sz w:val="24"/>
          <w:szCs w:val="24"/>
          <w:lang w:val="en-GB" w:eastAsia="zh-CN" w:bidi="ar-SA"/>
        </w:rPr>
        <w:t>每天</w:t>
      </w:r>
      <w:r>
        <w:rPr>
          <w:rFonts w:hint="eastAsia" w:ascii="Times New Roman" w:hAnsi="宋体" w:eastAsia="宋体" w:cs="宋体"/>
          <w:b w:val="0"/>
          <w:bCs w:val="0"/>
          <w:color w:val="000000"/>
          <w:kern w:val="2"/>
          <w:sz w:val="24"/>
          <w:szCs w:val="24"/>
          <w:lang w:val="en-US" w:eastAsia="zh-CN" w:bidi="ar-SA"/>
        </w:rPr>
        <w:t>10</w:t>
      </w:r>
      <w:r>
        <w:rPr>
          <w:rFonts w:hint="eastAsia" w:ascii="Times New Roman" w:hAnsi="宋体" w:eastAsia="宋体" w:cs="宋体"/>
          <w:b w:val="0"/>
          <w:bCs w:val="0"/>
          <w:color w:val="000000"/>
          <w:kern w:val="2"/>
          <w:sz w:val="24"/>
          <w:szCs w:val="24"/>
          <w:lang w:val="en-GB" w:eastAsia="zh-CN" w:bidi="ar-SA"/>
        </w:rPr>
        <w:t>小时（</w:t>
      </w:r>
      <w:r>
        <w:rPr>
          <w:rFonts w:hint="eastAsia" w:ascii="Times New Roman" w:hAnsi="宋体" w:eastAsia="宋体" w:cs="宋体"/>
          <w:b w:val="0"/>
          <w:bCs w:val="0"/>
          <w:color w:val="000000"/>
          <w:kern w:val="2"/>
          <w:sz w:val="24"/>
          <w:szCs w:val="24"/>
          <w:lang w:val="en-US" w:eastAsia="zh-CN" w:bidi="ar-SA"/>
        </w:rPr>
        <w:t>晚上21:00～次日7:00，</w:t>
      </w:r>
      <w:r>
        <w:rPr>
          <w:rFonts w:hint="eastAsia" w:ascii="Times New Roman" w:hAnsi="宋体" w:eastAsia="宋体" w:cs="宋体"/>
          <w:b w:val="0"/>
          <w:bCs w:val="0"/>
          <w:color w:val="000000"/>
          <w:kern w:val="2"/>
          <w:sz w:val="24"/>
          <w:szCs w:val="24"/>
          <w:lang w:val="en-GB" w:eastAsia="zh-CN" w:bidi="ar-SA"/>
        </w:rPr>
        <w:t>包含周六、日及国家规定节假日）。</w:t>
      </w:r>
    </w:p>
    <w:p>
      <w:pPr>
        <w:pStyle w:val="7"/>
        <w:tabs>
          <w:tab w:val="left" w:pos="420"/>
          <w:tab w:val="left" w:pos="567"/>
        </w:tabs>
        <w:adjustRightInd w:val="0"/>
        <w:snapToGrid w:val="0"/>
        <w:spacing w:line="360" w:lineRule="auto"/>
        <w:ind w:firstLine="240" w:firstLineChars="100"/>
        <w:rPr>
          <w:rFonts w:hAnsi="宋体" w:cs="宋体"/>
          <w:color w:val="000000"/>
          <w:sz w:val="24"/>
          <w:szCs w:val="24"/>
          <w:lang w:val="en-GB"/>
        </w:rPr>
      </w:pPr>
      <w:r>
        <w:rPr>
          <w:rFonts w:hint="eastAsia" w:hAnsi="宋体" w:cs="宋体"/>
          <w:color w:val="000000"/>
          <w:sz w:val="24"/>
          <w:szCs w:val="24"/>
          <w:lang w:val="en-GB"/>
        </w:rPr>
        <w:t>★</w:t>
      </w:r>
      <w:r>
        <w:rPr>
          <w:rFonts w:hint="eastAsia" w:hAnsi="宋体" w:cs="宋体"/>
          <w:color w:val="000000"/>
          <w:sz w:val="24"/>
          <w:szCs w:val="24"/>
        </w:rPr>
        <w:t>2</w:t>
      </w:r>
      <w:r>
        <w:rPr>
          <w:rFonts w:hint="eastAsia" w:hAnsi="宋体" w:cs="宋体"/>
          <w:color w:val="000000"/>
          <w:sz w:val="24"/>
          <w:szCs w:val="24"/>
          <w:lang w:val="en-GB"/>
        </w:rPr>
        <w:t>.日常运营服务管理</w:t>
      </w:r>
      <w:r>
        <w:rPr>
          <w:rFonts w:hint="eastAsia" w:hAnsi="宋体" w:cs="宋体"/>
          <w:color w:val="000000"/>
          <w:sz w:val="24"/>
          <w:szCs w:val="24"/>
        </w:rPr>
        <w:t>内容及</w:t>
      </w:r>
      <w:r>
        <w:rPr>
          <w:rFonts w:hint="eastAsia" w:hAnsi="宋体" w:cs="宋体"/>
          <w:color w:val="000000"/>
          <w:sz w:val="24"/>
          <w:szCs w:val="24"/>
          <w:lang w:val="en-GB"/>
        </w:rPr>
        <w:t>要求</w:t>
      </w:r>
    </w:p>
    <w:tbl>
      <w:tblPr>
        <w:tblStyle w:val="14"/>
        <w:tblW w:w="797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62"/>
        <w:gridCol w:w="1590"/>
        <w:gridCol w:w="562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2"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b w:val="0"/>
                <w:bCs w:val="0"/>
                <w:color w:val="000000"/>
                <w:szCs w:val="24"/>
              </w:rPr>
            </w:pPr>
            <w:r>
              <w:rPr>
                <w:rFonts w:hint="eastAsia" w:hAnsi="宋体" w:cs="宋体"/>
                <w:b w:val="0"/>
                <w:bCs w:val="0"/>
                <w:color w:val="000000"/>
                <w:szCs w:val="24"/>
              </w:rPr>
              <w:t>序号</w:t>
            </w:r>
          </w:p>
        </w:tc>
        <w:tc>
          <w:tcPr>
            <w:tcW w:w="1590" w:type="dxa"/>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b w:val="0"/>
                <w:bCs w:val="0"/>
                <w:color w:val="000000"/>
                <w:szCs w:val="24"/>
                <w:highlight w:val="none"/>
              </w:rPr>
            </w:pPr>
            <w:r>
              <w:rPr>
                <w:rFonts w:hint="eastAsia" w:hAnsi="宋体" w:cs="宋体"/>
                <w:b w:val="0"/>
                <w:bCs w:val="0"/>
                <w:color w:val="000000"/>
                <w:szCs w:val="24"/>
                <w:highlight w:val="none"/>
                <w:lang w:val="en-US" w:eastAsia="zh-CN"/>
              </w:rPr>
              <w:t>工作事项</w:t>
            </w:r>
          </w:p>
        </w:tc>
        <w:tc>
          <w:tcPr>
            <w:tcW w:w="5621" w:type="dxa"/>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b w:val="0"/>
                <w:bCs w:val="0"/>
                <w:color w:val="000000"/>
                <w:szCs w:val="24"/>
                <w:highlight w:val="none"/>
              </w:rPr>
            </w:pPr>
            <w:r>
              <w:rPr>
                <w:rFonts w:hint="eastAsia" w:hAnsi="宋体" w:cs="宋体"/>
                <w:b w:val="0"/>
                <w:bCs w:val="0"/>
                <w:color w:val="000000"/>
                <w:szCs w:val="24"/>
                <w:highlight w:val="none"/>
                <w:lang w:val="en-US" w:eastAsia="zh-CN"/>
              </w:rPr>
              <w:t>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3"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color w:val="000000"/>
                <w:szCs w:val="24"/>
              </w:rPr>
            </w:pPr>
            <w:r>
              <w:rPr>
                <w:rFonts w:hint="eastAsia" w:hAnsi="宋体" w:cs="宋体"/>
                <w:color w:val="000000"/>
                <w:szCs w:val="24"/>
              </w:rPr>
              <w:t>1</w:t>
            </w:r>
          </w:p>
        </w:tc>
        <w:tc>
          <w:tcPr>
            <w:tcW w:w="1590" w:type="dxa"/>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color w:val="000000"/>
                <w:szCs w:val="24"/>
              </w:rPr>
            </w:pPr>
            <w:r>
              <w:rPr>
                <w:rFonts w:hint="eastAsia" w:hAnsi="宋体" w:cs="宋体"/>
                <w:color w:val="000000"/>
                <w:szCs w:val="24"/>
              </w:rPr>
              <w:t>人工格栅</w:t>
            </w:r>
          </w:p>
        </w:tc>
        <w:tc>
          <w:tcPr>
            <w:tcW w:w="5621" w:type="dxa"/>
            <w:tcBorders>
              <w:top w:val="single" w:color="auto" w:sz="4" w:space="0"/>
              <w:left w:val="single" w:color="auto" w:sz="4" w:space="0"/>
              <w:bottom w:val="single" w:color="auto" w:sz="4" w:space="0"/>
              <w:right w:val="single" w:color="auto" w:sz="4" w:space="0"/>
            </w:tcBorders>
            <w:vAlign w:val="center"/>
          </w:tcPr>
          <w:p>
            <w:pPr>
              <w:widowControl/>
              <w:rPr>
                <w:rFonts w:hAnsi="宋体" w:cs="宋体"/>
                <w:color w:val="000000"/>
                <w:szCs w:val="24"/>
              </w:rPr>
            </w:pPr>
            <w:r>
              <w:rPr>
                <w:rFonts w:hint="eastAsia" w:hAnsi="宋体" w:cs="宋体"/>
                <w:color w:val="000000"/>
                <w:szCs w:val="24"/>
              </w:rPr>
              <w:t>（1） 每天清捞栅渣，并运送至采购人指定存放点；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30"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color w:val="000000"/>
                <w:szCs w:val="24"/>
              </w:rPr>
            </w:pPr>
            <w:r>
              <w:rPr>
                <w:rFonts w:hint="eastAsia" w:hAnsi="宋体" w:cs="宋体"/>
                <w:color w:val="000000"/>
                <w:szCs w:val="24"/>
              </w:rPr>
              <w:t>2</w:t>
            </w:r>
          </w:p>
        </w:tc>
        <w:tc>
          <w:tcPr>
            <w:tcW w:w="1590" w:type="dxa"/>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color w:val="000000"/>
                <w:szCs w:val="24"/>
              </w:rPr>
            </w:pPr>
            <w:r>
              <w:rPr>
                <w:rFonts w:hint="eastAsia" w:hAnsi="宋体" w:cs="宋体"/>
                <w:color w:val="000000"/>
                <w:szCs w:val="24"/>
              </w:rPr>
              <w:t>污水提升泵</w:t>
            </w:r>
          </w:p>
        </w:tc>
        <w:tc>
          <w:tcPr>
            <w:tcW w:w="5621" w:type="dxa"/>
            <w:tcBorders>
              <w:top w:val="single" w:color="auto" w:sz="4" w:space="0"/>
              <w:left w:val="single" w:color="auto" w:sz="4" w:space="0"/>
              <w:bottom w:val="single" w:color="auto" w:sz="4" w:space="0"/>
              <w:right w:val="single" w:color="auto" w:sz="4" w:space="0"/>
            </w:tcBorders>
            <w:vAlign w:val="center"/>
          </w:tcPr>
          <w:p>
            <w:pPr>
              <w:widowControl/>
              <w:numPr>
                <w:ilvl w:val="0"/>
                <w:numId w:val="4"/>
              </w:numPr>
              <w:rPr>
                <w:rFonts w:hint="eastAsia" w:hAnsi="宋体" w:cs="宋体"/>
                <w:color w:val="000000"/>
                <w:szCs w:val="24"/>
              </w:rPr>
            </w:pPr>
            <w:r>
              <w:rPr>
                <w:rFonts w:hint="eastAsia" w:hAnsi="宋体" w:cs="宋体"/>
                <w:color w:val="000000"/>
                <w:szCs w:val="24"/>
              </w:rPr>
              <w:t>由液位计控制水泵起停；</w:t>
            </w:r>
          </w:p>
          <w:p>
            <w:pPr>
              <w:widowControl/>
              <w:numPr>
                <w:ilvl w:val="0"/>
                <w:numId w:val="4"/>
              </w:numPr>
              <w:rPr>
                <w:rFonts w:hAnsi="宋体" w:cs="宋体"/>
                <w:color w:val="000000"/>
                <w:szCs w:val="24"/>
              </w:rPr>
            </w:pPr>
            <w:r>
              <w:rPr>
                <w:rFonts w:hint="eastAsia" w:hAnsi="宋体" w:cs="宋体"/>
                <w:color w:val="000000"/>
                <w:szCs w:val="24"/>
              </w:rPr>
              <w:t>每2个小时检查运行情况一次，并做好巡检记录；</w:t>
            </w:r>
            <w:r>
              <w:rPr>
                <w:rFonts w:hint="eastAsia" w:hAnsi="宋体" w:cs="宋体"/>
                <w:color w:val="000000"/>
                <w:szCs w:val="24"/>
              </w:rPr>
              <w:br w:type="textWrapping"/>
            </w:r>
            <w:r>
              <w:rPr>
                <w:rFonts w:hint="eastAsia" w:hAnsi="宋体" w:cs="宋体"/>
                <w:color w:val="000000"/>
                <w:szCs w:val="24"/>
              </w:rPr>
              <w:t>（3） 每个月进行例行检查、发现故障及时上报采购人主管部门。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325"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color w:val="000000"/>
                <w:szCs w:val="24"/>
              </w:rPr>
            </w:pPr>
            <w:r>
              <w:rPr>
                <w:rFonts w:hint="eastAsia" w:hAnsi="宋体" w:cs="宋体"/>
                <w:color w:val="000000"/>
                <w:szCs w:val="24"/>
              </w:rPr>
              <w:t>3</w:t>
            </w:r>
          </w:p>
        </w:tc>
        <w:tc>
          <w:tcPr>
            <w:tcW w:w="1590" w:type="dxa"/>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color w:val="000000"/>
                <w:szCs w:val="24"/>
              </w:rPr>
            </w:pPr>
            <w:r>
              <w:rPr>
                <w:rFonts w:hint="eastAsia" w:hAnsi="宋体" w:cs="宋体"/>
                <w:color w:val="000000"/>
                <w:szCs w:val="24"/>
              </w:rPr>
              <w:t>液位控制器</w:t>
            </w:r>
          </w:p>
        </w:tc>
        <w:tc>
          <w:tcPr>
            <w:tcW w:w="5621" w:type="dxa"/>
            <w:tcBorders>
              <w:top w:val="single" w:color="auto" w:sz="4" w:space="0"/>
              <w:left w:val="single" w:color="auto" w:sz="4" w:space="0"/>
              <w:bottom w:val="single" w:color="auto" w:sz="4" w:space="0"/>
              <w:right w:val="single" w:color="auto" w:sz="4" w:space="0"/>
            </w:tcBorders>
            <w:vAlign w:val="center"/>
          </w:tcPr>
          <w:p>
            <w:pPr>
              <w:widowControl/>
              <w:numPr>
                <w:ilvl w:val="0"/>
                <w:numId w:val="5"/>
              </w:numPr>
              <w:rPr>
                <w:rFonts w:hAnsi="宋体" w:cs="宋体"/>
                <w:color w:val="000000"/>
                <w:szCs w:val="24"/>
              </w:rPr>
            </w:pPr>
            <w:r>
              <w:rPr>
                <w:rFonts w:hint="eastAsia" w:hAnsi="宋体" w:cs="宋体"/>
                <w:color w:val="000000"/>
                <w:szCs w:val="24"/>
              </w:rPr>
              <w:t>经常检查水池液位情况，确保液位计运行正常，做好检查记录；</w:t>
            </w:r>
            <w:r>
              <w:rPr>
                <w:rFonts w:hint="eastAsia" w:hAnsi="宋体" w:cs="宋体"/>
                <w:color w:val="000000"/>
                <w:szCs w:val="24"/>
              </w:rPr>
              <w:br w:type="textWrapping"/>
            </w:r>
            <w:r>
              <w:rPr>
                <w:rFonts w:hint="eastAsia" w:hAnsi="宋体" w:cs="宋体"/>
                <w:color w:val="000000"/>
                <w:szCs w:val="24"/>
              </w:rPr>
              <w:t>（2）每周检查一次液位控制器的灵活性，做好检查记录。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62" w:type="dxa"/>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color w:val="000000"/>
                <w:szCs w:val="24"/>
              </w:rPr>
            </w:pPr>
            <w:r>
              <w:rPr>
                <w:rFonts w:hint="eastAsia" w:hAnsi="宋体" w:cs="宋体"/>
                <w:color w:val="000000"/>
                <w:szCs w:val="24"/>
              </w:rPr>
              <w:t>4</w:t>
            </w:r>
          </w:p>
        </w:tc>
        <w:tc>
          <w:tcPr>
            <w:tcW w:w="1590" w:type="dxa"/>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color w:val="000000"/>
                <w:szCs w:val="24"/>
              </w:rPr>
            </w:pPr>
            <w:r>
              <w:rPr>
                <w:rFonts w:hint="eastAsia" w:hAnsi="宋体" w:cs="宋体"/>
                <w:color w:val="000000"/>
                <w:szCs w:val="24"/>
              </w:rPr>
              <w:t>控制电柜</w:t>
            </w:r>
          </w:p>
        </w:tc>
        <w:tc>
          <w:tcPr>
            <w:tcW w:w="5621" w:type="dxa"/>
            <w:tcBorders>
              <w:top w:val="single" w:color="auto" w:sz="4" w:space="0"/>
              <w:left w:val="single" w:color="auto" w:sz="4" w:space="0"/>
              <w:bottom w:val="single" w:color="auto" w:sz="4" w:space="0"/>
              <w:right w:val="single" w:color="auto" w:sz="4" w:space="0"/>
            </w:tcBorders>
            <w:vAlign w:val="center"/>
          </w:tcPr>
          <w:p>
            <w:pPr>
              <w:widowControl/>
              <w:numPr>
                <w:ilvl w:val="0"/>
                <w:numId w:val="6"/>
              </w:numPr>
              <w:rPr>
                <w:rFonts w:hAnsi="宋体" w:cs="宋体"/>
                <w:color w:val="000000"/>
                <w:szCs w:val="24"/>
              </w:rPr>
            </w:pPr>
            <w:r>
              <w:rPr>
                <w:rFonts w:hint="eastAsia" w:hAnsi="宋体" w:cs="宋体"/>
                <w:color w:val="000000"/>
                <w:szCs w:val="24"/>
              </w:rPr>
              <w:t>每月检查各电气元件的完好性与可用性，做好检查记录；</w:t>
            </w:r>
          </w:p>
          <w:p>
            <w:pPr>
              <w:widowControl/>
              <w:numPr>
                <w:ilvl w:val="0"/>
                <w:numId w:val="6"/>
              </w:numPr>
              <w:rPr>
                <w:rFonts w:hAnsi="宋体" w:cs="宋体"/>
                <w:color w:val="000000"/>
                <w:szCs w:val="24"/>
              </w:rPr>
            </w:pPr>
            <w:r>
              <w:rPr>
                <w:rFonts w:hint="eastAsia" w:hAnsi="宋体" w:cs="宋体"/>
                <w:color w:val="000000"/>
                <w:szCs w:val="24"/>
              </w:rPr>
              <w:t>检查热继电器、过电流继电器等联锁保护装置完整性、灵敏性和准确性，做好检查记录，如有发现故障及时上报采购人主管部门。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561"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color w:val="000000"/>
                <w:szCs w:val="24"/>
              </w:rPr>
            </w:pPr>
            <w:r>
              <w:rPr>
                <w:rFonts w:hint="eastAsia" w:hAnsi="宋体" w:cs="宋体"/>
                <w:color w:val="000000"/>
                <w:szCs w:val="24"/>
              </w:rPr>
              <w:t>5</w:t>
            </w:r>
          </w:p>
        </w:tc>
        <w:tc>
          <w:tcPr>
            <w:tcW w:w="159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hAnsi="宋体" w:cs="宋体"/>
                <w:color w:val="auto"/>
                <w:szCs w:val="24"/>
                <w:lang w:val="en-US"/>
              </w:rPr>
            </w:pPr>
            <w:r>
              <w:rPr>
                <w:rFonts w:hint="eastAsia" w:hAnsi="宋体" w:cs="宋体"/>
                <w:color w:val="auto"/>
                <w:szCs w:val="24"/>
                <w:lang w:val="en-US" w:eastAsia="zh-CN"/>
              </w:rPr>
              <w:t>次氯酸钠发生器</w:t>
            </w:r>
          </w:p>
        </w:tc>
        <w:tc>
          <w:tcPr>
            <w:tcW w:w="5621" w:type="dxa"/>
            <w:tcBorders>
              <w:top w:val="single" w:color="auto" w:sz="4" w:space="0"/>
              <w:left w:val="single" w:color="auto" w:sz="4" w:space="0"/>
              <w:bottom w:val="single" w:color="auto" w:sz="4" w:space="0"/>
              <w:right w:val="single" w:color="auto" w:sz="4" w:space="0"/>
            </w:tcBorders>
            <w:vAlign w:val="center"/>
          </w:tcPr>
          <w:p>
            <w:pPr>
              <w:widowControl/>
              <w:rPr>
                <w:color w:val="auto"/>
                <w:szCs w:val="24"/>
              </w:rPr>
            </w:pPr>
            <w:r>
              <w:rPr>
                <w:rFonts w:hint="eastAsia"/>
                <w:color w:val="auto"/>
                <w:szCs w:val="24"/>
              </w:rPr>
              <w:t>（1）做好投放药剂的安全管理工作，每2小时巡查一次（双人双锁），非管理人员不得进入污水处理站，操作间禁止闲人进入；</w:t>
            </w:r>
          </w:p>
          <w:p>
            <w:pPr>
              <w:widowControl/>
              <w:rPr>
                <w:color w:val="auto"/>
                <w:szCs w:val="24"/>
              </w:rPr>
            </w:pPr>
            <w:r>
              <w:rPr>
                <w:rFonts w:hint="eastAsia"/>
                <w:color w:val="auto"/>
                <w:szCs w:val="24"/>
              </w:rPr>
              <w:t>（2）做好药剂使用用量登记及数据统计；</w:t>
            </w:r>
          </w:p>
          <w:p>
            <w:pPr>
              <w:widowControl/>
              <w:rPr>
                <w:color w:val="auto"/>
                <w:szCs w:val="24"/>
              </w:rPr>
            </w:pPr>
            <w:r>
              <w:rPr>
                <w:rFonts w:hint="eastAsia"/>
                <w:color w:val="auto"/>
                <w:szCs w:val="24"/>
              </w:rPr>
              <w:t>（3）每小时巡查</w:t>
            </w:r>
            <w:r>
              <w:rPr>
                <w:rFonts w:hint="eastAsia"/>
                <w:color w:val="auto"/>
                <w:szCs w:val="24"/>
                <w:lang w:val="en-US" w:eastAsia="zh-CN"/>
              </w:rPr>
              <w:t>次氯酸钠</w:t>
            </w:r>
            <w:r>
              <w:rPr>
                <w:rFonts w:hint="eastAsia"/>
                <w:color w:val="auto"/>
                <w:szCs w:val="24"/>
              </w:rPr>
              <w:t>发生器运行是否正常，药剂是否满足要求，</w:t>
            </w:r>
            <w:r>
              <w:rPr>
                <w:rFonts w:hint="eastAsia" w:hAnsi="宋体" w:cs="宋体"/>
                <w:color w:val="auto"/>
                <w:szCs w:val="24"/>
              </w:rPr>
              <w:t>做好巡查记录</w:t>
            </w:r>
            <w:r>
              <w:rPr>
                <w:rFonts w:hint="eastAsia"/>
                <w:color w:val="auto"/>
                <w:szCs w:val="24"/>
              </w:rPr>
              <w:t>；</w:t>
            </w:r>
          </w:p>
          <w:p>
            <w:pPr>
              <w:widowControl/>
              <w:rPr>
                <w:color w:val="auto"/>
                <w:szCs w:val="24"/>
              </w:rPr>
            </w:pPr>
            <w:r>
              <w:rPr>
                <w:rFonts w:hint="eastAsia"/>
                <w:color w:val="auto"/>
                <w:szCs w:val="24"/>
              </w:rPr>
              <w:t>（4）每个月进行例行检查，</w:t>
            </w:r>
            <w:r>
              <w:rPr>
                <w:rFonts w:hint="eastAsia" w:hAnsi="宋体" w:cs="宋体"/>
                <w:color w:val="auto"/>
                <w:szCs w:val="24"/>
              </w:rPr>
              <w:t>发现故障及时上报采购人主管部门。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13"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color w:val="000000"/>
                <w:szCs w:val="24"/>
              </w:rPr>
            </w:pPr>
            <w:r>
              <w:rPr>
                <w:rFonts w:hint="eastAsia" w:hAnsi="宋体" w:cs="宋体"/>
                <w:color w:val="000000"/>
                <w:szCs w:val="24"/>
              </w:rPr>
              <w:t>6</w:t>
            </w:r>
          </w:p>
        </w:tc>
        <w:tc>
          <w:tcPr>
            <w:tcW w:w="1590" w:type="dxa"/>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color w:val="000000"/>
                <w:szCs w:val="24"/>
              </w:rPr>
            </w:pPr>
            <w:r>
              <w:rPr>
                <w:rFonts w:hint="eastAsia" w:hAnsi="宋体" w:cs="宋体"/>
                <w:color w:val="000000"/>
                <w:szCs w:val="24"/>
              </w:rPr>
              <w:t>水样监测</w:t>
            </w:r>
          </w:p>
        </w:tc>
        <w:tc>
          <w:tcPr>
            <w:tcW w:w="5621" w:type="dxa"/>
            <w:tcBorders>
              <w:top w:val="single" w:color="auto" w:sz="4" w:space="0"/>
              <w:left w:val="single" w:color="auto" w:sz="4" w:space="0"/>
              <w:bottom w:val="single" w:color="auto" w:sz="4" w:space="0"/>
              <w:right w:val="single" w:color="auto" w:sz="4" w:space="0"/>
            </w:tcBorders>
            <w:vAlign w:val="center"/>
          </w:tcPr>
          <w:p>
            <w:pPr>
              <w:widowControl/>
              <w:numPr>
                <w:ilvl w:val="0"/>
                <w:numId w:val="7"/>
              </w:numPr>
              <w:rPr>
                <w:rFonts w:hAnsi="宋体" w:cs="宋体"/>
                <w:color w:val="000000"/>
                <w:szCs w:val="24"/>
              </w:rPr>
            </w:pPr>
            <w:r>
              <w:rPr>
                <w:rFonts w:hint="eastAsia" w:hAnsi="宋体" w:cs="宋体"/>
                <w:color w:val="000000"/>
                <w:szCs w:val="24"/>
              </w:rPr>
              <w:t>每天监测项目：pH、总余氯，做好监测记录，每日进行不少于4次；</w:t>
            </w:r>
          </w:p>
          <w:p>
            <w:pPr>
              <w:widowControl/>
              <w:numPr>
                <w:ilvl w:val="0"/>
                <w:numId w:val="7"/>
              </w:numPr>
              <w:rPr>
                <w:rFonts w:hAnsi="宋体" w:cs="宋体"/>
                <w:color w:val="000000"/>
                <w:szCs w:val="24"/>
              </w:rPr>
            </w:pPr>
            <w:r>
              <w:rPr>
                <w:rFonts w:hint="eastAsia" w:hAnsi="宋体" w:cs="宋体"/>
                <w:color w:val="000000"/>
                <w:szCs w:val="24"/>
              </w:rPr>
              <w:t>采样点：排放口。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62" w:type="dxa"/>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color w:val="000000"/>
                <w:szCs w:val="24"/>
              </w:rPr>
            </w:pPr>
            <w:r>
              <w:rPr>
                <w:rFonts w:hint="eastAsia" w:hAnsi="宋体" w:cs="宋体"/>
                <w:color w:val="000000"/>
                <w:szCs w:val="24"/>
              </w:rPr>
              <w:t>7</w:t>
            </w:r>
          </w:p>
        </w:tc>
        <w:tc>
          <w:tcPr>
            <w:tcW w:w="1590" w:type="dxa"/>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color w:val="000000"/>
                <w:szCs w:val="24"/>
              </w:rPr>
            </w:pPr>
            <w:r>
              <w:rPr>
                <w:rFonts w:hint="eastAsia" w:hAnsi="宋体" w:cs="宋体"/>
                <w:color w:val="000000"/>
                <w:szCs w:val="24"/>
              </w:rPr>
              <w:t>其它</w:t>
            </w:r>
          </w:p>
        </w:tc>
        <w:tc>
          <w:tcPr>
            <w:tcW w:w="5621" w:type="dxa"/>
            <w:tcBorders>
              <w:top w:val="single" w:color="auto" w:sz="4" w:space="0"/>
              <w:left w:val="single" w:color="auto" w:sz="4" w:space="0"/>
              <w:bottom w:val="single" w:color="auto" w:sz="4" w:space="0"/>
              <w:right w:val="single" w:color="auto" w:sz="4" w:space="0"/>
            </w:tcBorders>
            <w:vAlign w:val="center"/>
          </w:tcPr>
          <w:p>
            <w:pPr>
              <w:widowControl/>
              <w:numPr>
                <w:ilvl w:val="0"/>
                <w:numId w:val="8"/>
              </w:numPr>
              <w:tabs>
                <w:tab w:val="left" w:pos="312"/>
              </w:tabs>
              <w:rPr>
                <w:rFonts w:hAnsi="宋体" w:cs="宋体"/>
                <w:color w:val="000000"/>
                <w:szCs w:val="24"/>
              </w:rPr>
            </w:pPr>
            <w:r>
              <w:rPr>
                <w:rFonts w:hint="eastAsia" w:hAnsi="宋体" w:cs="宋体"/>
                <w:color w:val="000000"/>
                <w:szCs w:val="24"/>
              </w:rPr>
              <w:t>保持污水处理站区内卫生、整洁，定期打扫；</w:t>
            </w:r>
          </w:p>
          <w:p>
            <w:pPr>
              <w:widowControl/>
              <w:numPr>
                <w:ilvl w:val="0"/>
                <w:numId w:val="8"/>
              </w:numPr>
              <w:tabs>
                <w:tab w:val="left" w:pos="312"/>
              </w:tabs>
              <w:rPr>
                <w:rFonts w:hAnsi="宋体" w:cs="宋体"/>
                <w:color w:val="000000"/>
                <w:szCs w:val="24"/>
              </w:rPr>
            </w:pPr>
            <w:r>
              <w:rPr>
                <w:rFonts w:hint="eastAsia" w:hAnsi="宋体" w:cs="宋体"/>
                <w:color w:val="000000"/>
                <w:szCs w:val="24"/>
              </w:rPr>
              <w:t>定期检查和紧固各种设备连接件；</w:t>
            </w:r>
          </w:p>
          <w:p>
            <w:pPr>
              <w:widowControl/>
              <w:numPr>
                <w:ilvl w:val="0"/>
                <w:numId w:val="8"/>
              </w:numPr>
              <w:tabs>
                <w:tab w:val="left" w:pos="312"/>
              </w:tabs>
              <w:rPr>
                <w:rFonts w:hAnsi="宋体" w:cs="宋体"/>
                <w:color w:val="000000"/>
                <w:szCs w:val="24"/>
              </w:rPr>
            </w:pPr>
            <w:r>
              <w:rPr>
                <w:rFonts w:hint="eastAsia" w:hAnsi="宋体" w:cs="宋体"/>
                <w:color w:val="000000"/>
                <w:szCs w:val="24"/>
              </w:rPr>
              <w:t>负责对</w:t>
            </w:r>
            <w:r>
              <w:rPr>
                <w:rFonts w:hint="eastAsia" w:hAnsi="宋体" w:cs="宋体"/>
                <w:color w:val="000000"/>
                <w:szCs w:val="24"/>
                <w:lang w:val="en-US" w:eastAsia="zh-CN"/>
              </w:rPr>
              <w:t>药剂</w:t>
            </w:r>
            <w:r>
              <w:rPr>
                <w:rFonts w:hint="eastAsia" w:hAnsi="宋体" w:cs="宋体"/>
                <w:color w:val="000000"/>
                <w:szCs w:val="24"/>
              </w:rPr>
              <w:t>仓库进行</w:t>
            </w:r>
            <w:r>
              <w:rPr>
                <w:rFonts w:hint="eastAsia" w:hAnsi="宋体" w:cs="宋体"/>
                <w:color w:val="000000"/>
                <w:szCs w:val="24"/>
                <w:lang w:val="en-US" w:eastAsia="zh-CN"/>
              </w:rPr>
              <w:t>巡查、</w:t>
            </w:r>
            <w:r>
              <w:rPr>
                <w:rFonts w:hint="eastAsia" w:hAnsi="宋体" w:cs="宋体"/>
                <w:color w:val="000000"/>
                <w:szCs w:val="24"/>
              </w:rPr>
              <w:t>管理；</w:t>
            </w:r>
          </w:p>
          <w:p>
            <w:pPr>
              <w:widowControl/>
              <w:numPr>
                <w:ilvl w:val="0"/>
                <w:numId w:val="8"/>
              </w:numPr>
              <w:tabs>
                <w:tab w:val="left" w:pos="312"/>
              </w:tabs>
              <w:rPr>
                <w:rFonts w:hAnsi="宋体" w:cs="宋体"/>
                <w:color w:val="000000"/>
                <w:szCs w:val="24"/>
              </w:rPr>
            </w:pPr>
            <w:r>
              <w:rPr>
                <w:rFonts w:hint="eastAsia"/>
                <w:highlight w:val="none"/>
              </w:rPr>
              <w:t>每周对污水管理和处置进行自查、分析，形成自查报告</w:t>
            </w:r>
            <w:r>
              <w:rPr>
                <w:rFonts w:hint="eastAsia" w:hAnsi="宋体" w:cs="宋体"/>
                <w:color w:val="000000"/>
                <w:szCs w:val="24"/>
              </w:rPr>
              <w:t>；</w:t>
            </w:r>
          </w:p>
          <w:p>
            <w:pPr>
              <w:widowControl/>
              <w:numPr>
                <w:ilvl w:val="0"/>
                <w:numId w:val="8"/>
              </w:numPr>
              <w:tabs>
                <w:tab w:val="left" w:pos="312"/>
              </w:tabs>
              <w:rPr>
                <w:rFonts w:hAnsi="宋体" w:cs="宋体"/>
                <w:color w:val="000000"/>
                <w:szCs w:val="24"/>
              </w:rPr>
            </w:pPr>
            <w:r>
              <w:rPr>
                <w:rFonts w:hint="eastAsia" w:hAnsi="宋体" w:cs="宋体"/>
                <w:color w:val="000000"/>
                <w:szCs w:val="24"/>
              </w:rPr>
              <w:t>每月检查设备类型、编号、就位状况与记录情况一致；</w:t>
            </w:r>
          </w:p>
          <w:p>
            <w:pPr>
              <w:widowControl/>
              <w:numPr>
                <w:ilvl w:val="0"/>
                <w:numId w:val="8"/>
              </w:numPr>
              <w:tabs>
                <w:tab w:val="left" w:pos="312"/>
              </w:tabs>
              <w:rPr>
                <w:rFonts w:hAnsi="宋体" w:cs="宋体"/>
                <w:color w:val="000000"/>
                <w:szCs w:val="24"/>
              </w:rPr>
            </w:pPr>
            <w:r>
              <w:rPr>
                <w:rFonts w:hint="eastAsia" w:hAnsi="宋体" w:cs="宋体"/>
                <w:color w:val="000000"/>
                <w:szCs w:val="24"/>
              </w:rPr>
              <w:t>协助采购人参与</w:t>
            </w:r>
            <w:r>
              <w:rPr>
                <w:rFonts w:hint="eastAsia" w:hAnsi="宋体" w:cs="宋体"/>
                <w:color w:val="000000"/>
                <w:szCs w:val="24"/>
                <w:highlight w:val="none"/>
              </w:rPr>
              <w:t>上级相关部门的</w:t>
            </w:r>
            <w:r>
              <w:rPr>
                <w:rFonts w:hint="eastAsia" w:hAnsi="宋体" w:cs="宋体"/>
                <w:color w:val="000000"/>
                <w:szCs w:val="24"/>
              </w:rPr>
              <w:t>检查；</w:t>
            </w:r>
          </w:p>
          <w:p>
            <w:pPr>
              <w:widowControl/>
              <w:numPr>
                <w:ilvl w:val="0"/>
                <w:numId w:val="8"/>
              </w:numPr>
              <w:tabs>
                <w:tab w:val="left" w:pos="312"/>
              </w:tabs>
              <w:rPr>
                <w:rFonts w:hAnsi="宋体" w:cs="宋体"/>
                <w:color w:val="000000"/>
                <w:szCs w:val="24"/>
              </w:rPr>
            </w:pPr>
            <w:r>
              <w:rPr>
                <w:rFonts w:hint="eastAsia" w:hAnsi="宋体" w:cs="宋体"/>
                <w:color w:val="000000"/>
                <w:szCs w:val="24"/>
              </w:rPr>
              <w:t>负责污水处理突发应急事件的统筹处理；</w:t>
            </w:r>
          </w:p>
          <w:p>
            <w:pPr>
              <w:widowControl/>
              <w:numPr>
                <w:ilvl w:val="0"/>
                <w:numId w:val="8"/>
              </w:numPr>
              <w:tabs>
                <w:tab w:val="left" w:pos="312"/>
              </w:tabs>
              <w:rPr>
                <w:rFonts w:hAnsi="宋体" w:cs="宋体"/>
                <w:color w:val="000000"/>
                <w:szCs w:val="24"/>
              </w:rPr>
            </w:pPr>
            <w:r>
              <w:rPr>
                <w:rFonts w:hint="eastAsia" w:hAnsi="宋体" w:cs="宋体"/>
                <w:color w:val="000000"/>
                <w:szCs w:val="24"/>
              </w:rPr>
              <w:t>熟悉掌握医院污水排放要求政策，及时与采购人沟通调整；</w:t>
            </w:r>
          </w:p>
          <w:p>
            <w:pPr>
              <w:widowControl/>
              <w:numPr>
                <w:ilvl w:val="0"/>
                <w:numId w:val="8"/>
              </w:numPr>
              <w:tabs>
                <w:tab w:val="left" w:pos="312"/>
              </w:tabs>
              <w:rPr>
                <w:rFonts w:hAnsi="宋体" w:cs="宋体"/>
                <w:color w:val="000000"/>
                <w:szCs w:val="24"/>
              </w:rPr>
            </w:pPr>
            <w:r>
              <w:rPr>
                <w:rFonts w:hint="eastAsia" w:hAnsi="宋体" w:cs="宋体"/>
                <w:color w:val="000000"/>
                <w:szCs w:val="24"/>
              </w:rPr>
              <w:t>参与采购人会议及时跟踪处理污水站问题；</w:t>
            </w:r>
          </w:p>
          <w:p>
            <w:pPr>
              <w:widowControl/>
              <w:numPr>
                <w:ilvl w:val="0"/>
                <w:numId w:val="8"/>
              </w:numPr>
              <w:tabs>
                <w:tab w:val="left" w:pos="312"/>
              </w:tabs>
              <w:rPr>
                <w:rFonts w:hAnsi="宋体" w:cs="宋体"/>
                <w:color w:val="000000"/>
                <w:szCs w:val="24"/>
              </w:rPr>
            </w:pPr>
            <w:r>
              <w:rPr>
                <w:rFonts w:hint="eastAsia" w:hAnsi="宋体" w:cs="宋体"/>
                <w:color w:val="000000"/>
                <w:szCs w:val="24"/>
              </w:rPr>
              <w:t>制定内部应急预案；</w:t>
            </w:r>
          </w:p>
          <w:p>
            <w:pPr>
              <w:widowControl/>
              <w:numPr>
                <w:ilvl w:val="0"/>
                <w:numId w:val="8"/>
              </w:numPr>
              <w:tabs>
                <w:tab w:val="left" w:pos="312"/>
              </w:tabs>
              <w:rPr>
                <w:rFonts w:hAnsi="宋体" w:cs="宋体"/>
                <w:color w:val="000000"/>
                <w:szCs w:val="24"/>
              </w:rPr>
            </w:pPr>
            <w:r>
              <w:rPr>
                <w:rFonts w:hint="eastAsia" w:hAnsi="宋体" w:cs="宋体"/>
                <w:color w:val="000000"/>
                <w:szCs w:val="24"/>
              </w:rPr>
              <w:t>负责污水站人员的技术培训；</w:t>
            </w:r>
          </w:p>
          <w:p>
            <w:pPr>
              <w:widowControl/>
              <w:numPr>
                <w:ilvl w:val="0"/>
                <w:numId w:val="8"/>
              </w:numPr>
              <w:tabs>
                <w:tab w:val="left" w:pos="312"/>
              </w:tabs>
              <w:rPr>
                <w:rFonts w:hAnsi="宋体" w:cs="宋体"/>
                <w:color w:val="000000"/>
                <w:szCs w:val="24"/>
              </w:rPr>
            </w:pPr>
            <w:r>
              <w:rPr>
                <w:rFonts w:hint="eastAsia" w:hAnsi="宋体" w:cs="宋体"/>
                <w:color w:val="000000"/>
                <w:szCs w:val="24"/>
              </w:rPr>
              <w:t>负责建立健全规范的管理档案、设备运行档案、设备维保档案。</w:t>
            </w:r>
          </w:p>
        </w:tc>
      </w:tr>
    </w:tbl>
    <w:p>
      <w:pPr>
        <w:pStyle w:val="7"/>
        <w:tabs>
          <w:tab w:val="left" w:pos="567"/>
        </w:tabs>
        <w:adjustRightInd w:val="0"/>
        <w:snapToGrid w:val="0"/>
        <w:spacing w:line="360" w:lineRule="auto"/>
        <w:rPr>
          <w:rFonts w:hint="eastAsia" w:hAnsi="宋体" w:cs="宋体"/>
          <w:b/>
          <w:color w:val="000000"/>
          <w:sz w:val="24"/>
          <w:szCs w:val="24"/>
        </w:rPr>
      </w:pPr>
    </w:p>
    <w:p>
      <w:pPr>
        <w:pStyle w:val="7"/>
        <w:tabs>
          <w:tab w:val="left" w:pos="567"/>
        </w:tabs>
        <w:adjustRightInd w:val="0"/>
        <w:snapToGrid w:val="0"/>
        <w:spacing w:line="360" w:lineRule="auto"/>
        <w:rPr>
          <w:rFonts w:hAnsi="宋体" w:cs="宋体"/>
          <w:b/>
          <w:color w:val="000000"/>
          <w:sz w:val="24"/>
          <w:szCs w:val="24"/>
        </w:rPr>
      </w:pPr>
      <w:r>
        <w:rPr>
          <w:rFonts w:hint="eastAsia" w:hAnsi="宋体" w:cs="宋体"/>
          <w:b/>
          <w:color w:val="000000"/>
          <w:sz w:val="24"/>
          <w:szCs w:val="24"/>
          <w:highlight w:val="none"/>
          <w:lang w:val="en-US" w:eastAsia="zh-CN"/>
        </w:rPr>
        <w:t>四、</w:t>
      </w:r>
      <w:r>
        <w:rPr>
          <w:rFonts w:hint="eastAsia" w:hAnsi="宋体" w:cs="宋体"/>
          <w:b/>
          <w:color w:val="000000"/>
          <w:sz w:val="24"/>
          <w:szCs w:val="24"/>
        </w:rPr>
        <w:t>服务质量要求</w:t>
      </w:r>
    </w:p>
    <w:p>
      <w:pPr>
        <w:pStyle w:val="2"/>
        <w:kinsoku w:val="0"/>
        <w:overflowPunct w:val="0"/>
        <w:spacing w:line="360" w:lineRule="auto"/>
        <w:ind w:firstLine="480" w:firstLineChars="200"/>
        <w:jc w:val="both"/>
        <w:rPr>
          <w:rFonts w:hint="eastAsia" w:hAnsi="宋体" w:eastAsia="宋体" w:cs="宋体"/>
          <w:b w:val="0"/>
          <w:bCs w:val="0"/>
          <w:color w:val="000000"/>
          <w:sz w:val="24"/>
          <w:szCs w:val="24"/>
          <w:lang w:val="en-US"/>
        </w:rPr>
      </w:pPr>
      <w:r>
        <w:rPr>
          <w:rFonts w:hint="eastAsia" w:hAnsi="宋体" w:cs="宋体"/>
          <w:b w:val="0"/>
          <w:bCs w:val="0"/>
          <w:color w:val="000000"/>
          <w:sz w:val="24"/>
          <w:szCs w:val="24"/>
        </w:rPr>
        <w:t>1</w:t>
      </w:r>
      <w:r>
        <w:rPr>
          <w:rFonts w:hint="eastAsia" w:hAnsi="宋体" w:cs="宋体"/>
          <w:b w:val="0"/>
          <w:bCs w:val="0"/>
          <w:color w:val="000000"/>
          <w:sz w:val="24"/>
          <w:szCs w:val="24"/>
          <w:lang w:val="en-US"/>
        </w:rPr>
        <w:t>.成交供应商对服务时间内</w:t>
      </w:r>
      <w:r>
        <w:rPr>
          <w:rFonts w:hint="eastAsia" w:hAnsi="宋体" w:cs="宋体"/>
          <w:b w:val="0"/>
          <w:bCs w:val="0"/>
          <w:color w:val="000000"/>
          <w:sz w:val="24"/>
          <w:szCs w:val="24"/>
        </w:rPr>
        <w:t>经污水站处理后排放的水质必须达标，排放水质要求达到《医疗机构水污染物排放标准》表2[综合医疗机构和其他医疗机构水污染物排放限值(日均值)]预处理标准。</w:t>
      </w:r>
      <w:r>
        <w:rPr>
          <w:rFonts w:hint="eastAsia" w:hAnsi="宋体" w:cs="宋体"/>
          <w:b w:val="0"/>
          <w:bCs w:val="0"/>
          <w:color w:val="000000"/>
          <w:spacing w:val="2"/>
          <w:sz w:val="24"/>
          <w:szCs w:val="24"/>
        </w:rPr>
        <w:t>保</w:t>
      </w:r>
      <w:r>
        <w:rPr>
          <w:rFonts w:hint="eastAsia" w:hAnsi="宋体" w:cs="宋体"/>
          <w:b w:val="0"/>
          <w:bCs w:val="0"/>
          <w:color w:val="000000"/>
          <w:sz w:val="24"/>
          <w:szCs w:val="24"/>
        </w:rPr>
        <w:t>证</w:t>
      </w:r>
      <w:r>
        <w:rPr>
          <w:rFonts w:hint="eastAsia" w:hAnsi="宋体" w:cs="宋体"/>
          <w:b w:val="0"/>
          <w:bCs w:val="0"/>
          <w:color w:val="000000"/>
          <w:spacing w:val="2"/>
          <w:sz w:val="24"/>
          <w:szCs w:val="24"/>
        </w:rPr>
        <w:t>出</w:t>
      </w:r>
      <w:r>
        <w:rPr>
          <w:rFonts w:hint="eastAsia" w:hAnsi="宋体" w:cs="宋体"/>
          <w:b w:val="0"/>
          <w:bCs w:val="0"/>
          <w:color w:val="000000"/>
          <w:sz w:val="24"/>
          <w:szCs w:val="24"/>
        </w:rPr>
        <w:t>水</w:t>
      </w:r>
      <w:r>
        <w:rPr>
          <w:rFonts w:hint="eastAsia" w:hAnsi="宋体" w:cs="宋体"/>
          <w:b w:val="0"/>
          <w:bCs w:val="0"/>
          <w:color w:val="000000"/>
          <w:spacing w:val="2"/>
          <w:sz w:val="24"/>
          <w:szCs w:val="24"/>
        </w:rPr>
        <w:t>排</w:t>
      </w:r>
      <w:r>
        <w:rPr>
          <w:rFonts w:hint="eastAsia" w:hAnsi="宋体" w:cs="宋体"/>
          <w:b w:val="0"/>
          <w:bCs w:val="0"/>
          <w:color w:val="000000"/>
          <w:sz w:val="24"/>
          <w:szCs w:val="24"/>
        </w:rPr>
        <w:t>放</w:t>
      </w:r>
      <w:r>
        <w:rPr>
          <w:rFonts w:hint="eastAsia" w:hAnsi="宋体" w:cs="宋体"/>
          <w:b w:val="0"/>
          <w:bCs w:val="0"/>
          <w:color w:val="000000"/>
          <w:spacing w:val="2"/>
          <w:sz w:val="24"/>
          <w:szCs w:val="24"/>
        </w:rPr>
        <w:t>符</w:t>
      </w:r>
      <w:r>
        <w:rPr>
          <w:rFonts w:hint="eastAsia" w:hAnsi="宋体" w:cs="宋体"/>
          <w:b w:val="0"/>
          <w:bCs w:val="0"/>
          <w:color w:val="000000"/>
          <w:sz w:val="24"/>
          <w:szCs w:val="24"/>
        </w:rPr>
        <w:t>合</w:t>
      </w:r>
      <w:r>
        <w:rPr>
          <w:rFonts w:hint="eastAsia" w:hAnsi="宋体" w:cs="宋体"/>
          <w:b w:val="0"/>
          <w:bCs w:val="0"/>
          <w:color w:val="000000"/>
          <w:spacing w:val="2"/>
          <w:sz w:val="24"/>
          <w:szCs w:val="24"/>
        </w:rPr>
        <w:t>国</w:t>
      </w:r>
      <w:r>
        <w:rPr>
          <w:rFonts w:hint="eastAsia" w:hAnsi="宋体" w:cs="宋体"/>
          <w:b w:val="0"/>
          <w:bCs w:val="0"/>
          <w:color w:val="000000"/>
          <w:sz w:val="24"/>
          <w:szCs w:val="24"/>
        </w:rPr>
        <w:t>家</w:t>
      </w:r>
      <w:r>
        <w:rPr>
          <w:rFonts w:hint="eastAsia" w:hAnsi="宋体" w:cs="宋体"/>
          <w:b w:val="0"/>
          <w:bCs w:val="0"/>
          <w:color w:val="000000"/>
          <w:spacing w:val="2"/>
          <w:sz w:val="24"/>
          <w:szCs w:val="24"/>
        </w:rPr>
        <w:t>标</w:t>
      </w:r>
      <w:r>
        <w:rPr>
          <w:rFonts w:hint="eastAsia" w:hAnsi="宋体" w:cs="宋体"/>
          <w:b w:val="0"/>
          <w:bCs w:val="0"/>
          <w:color w:val="000000"/>
          <w:sz w:val="24"/>
          <w:szCs w:val="24"/>
        </w:rPr>
        <w:t>准</w:t>
      </w:r>
      <w:r>
        <w:rPr>
          <w:rFonts w:hint="eastAsia" w:hAnsi="宋体" w:cs="宋体"/>
          <w:b w:val="0"/>
          <w:bCs w:val="0"/>
          <w:color w:val="000000"/>
          <w:spacing w:val="2"/>
          <w:sz w:val="24"/>
          <w:szCs w:val="24"/>
        </w:rPr>
        <w:t>和</w:t>
      </w:r>
      <w:r>
        <w:rPr>
          <w:rFonts w:hint="eastAsia" w:hAnsi="宋体" w:cs="宋体"/>
          <w:b w:val="0"/>
          <w:bCs w:val="0"/>
          <w:color w:val="000000"/>
          <w:sz w:val="24"/>
          <w:szCs w:val="24"/>
        </w:rPr>
        <w:t>环</w:t>
      </w:r>
      <w:r>
        <w:rPr>
          <w:rFonts w:hint="eastAsia" w:hAnsi="宋体" w:cs="宋体"/>
          <w:b w:val="0"/>
          <w:bCs w:val="0"/>
          <w:color w:val="000000"/>
          <w:spacing w:val="2"/>
          <w:sz w:val="24"/>
          <w:szCs w:val="24"/>
        </w:rPr>
        <w:t>保</w:t>
      </w:r>
      <w:r>
        <w:rPr>
          <w:rFonts w:hint="eastAsia" w:hAnsi="宋体" w:cs="宋体"/>
          <w:b w:val="0"/>
          <w:bCs w:val="0"/>
          <w:color w:val="000000"/>
          <w:sz w:val="24"/>
          <w:szCs w:val="24"/>
        </w:rPr>
        <w:t>要</w:t>
      </w:r>
      <w:r>
        <w:rPr>
          <w:rFonts w:hint="eastAsia" w:hAnsi="宋体" w:cs="宋体"/>
          <w:b w:val="0"/>
          <w:bCs w:val="0"/>
          <w:color w:val="000000"/>
          <w:spacing w:val="2"/>
          <w:sz w:val="24"/>
          <w:szCs w:val="24"/>
        </w:rPr>
        <w:t>求</w:t>
      </w:r>
      <w:r>
        <w:rPr>
          <w:rFonts w:hint="eastAsia" w:hAnsi="宋体" w:cs="宋体"/>
          <w:b w:val="0"/>
          <w:bCs w:val="0"/>
          <w:color w:val="000000"/>
          <w:sz w:val="24"/>
          <w:szCs w:val="24"/>
        </w:rPr>
        <w:t>，污水处理合格率</w:t>
      </w:r>
      <w:r>
        <w:rPr>
          <w:rFonts w:hint="eastAsia" w:hAnsi="宋体" w:cs="宋体"/>
          <w:b w:val="0"/>
          <w:bCs w:val="0"/>
          <w:color w:val="000000"/>
          <w:spacing w:val="-60"/>
          <w:sz w:val="24"/>
          <w:szCs w:val="24"/>
        </w:rPr>
        <w:t xml:space="preserve"> </w:t>
      </w:r>
      <w:r>
        <w:rPr>
          <w:rFonts w:hint="eastAsia" w:hAnsi="宋体" w:cs="宋体"/>
          <w:b w:val="0"/>
          <w:bCs w:val="0"/>
          <w:color w:val="000000"/>
          <w:sz w:val="24"/>
          <w:szCs w:val="24"/>
        </w:rPr>
        <w:t>100%</w:t>
      </w:r>
      <w:r>
        <w:rPr>
          <w:rFonts w:hint="eastAsia" w:hAnsi="宋体" w:eastAsia="宋体" w:cs="宋体"/>
          <w:b w:val="0"/>
          <w:bCs w:val="0"/>
          <w:color w:val="000000"/>
          <w:sz w:val="24"/>
          <w:szCs w:val="24"/>
          <w:lang w:val="en-US"/>
        </w:rPr>
        <w:t>。</w:t>
      </w:r>
    </w:p>
    <w:p>
      <w:pPr>
        <w:pStyle w:val="2"/>
        <w:kinsoku w:val="0"/>
        <w:overflowPunct w:val="0"/>
        <w:spacing w:line="360" w:lineRule="auto"/>
        <w:ind w:firstLine="480" w:firstLineChars="200"/>
        <w:jc w:val="both"/>
        <w:rPr>
          <w:rFonts w:hint="eastAsia" w:hAnsi="宋体" w:eastAsia="宋体" w:cs="宋体"/>
          <w:b w:val="0"/>
          <w:bCs w:val="0"/>
          <w:color w:val="000000"/>
          <w:sz w:val="24"/>
          <w:szCs w:val="24"/>
          <w:lang w:val="en-US" w:eastAsia="zh-CN"/>
        </w:rPr>
      </w:pPr>
      <w:r>
        <w:rPr>
          <w:rFonts w:hint="eastAsia" w:hAnsi="宋体" w:eastAsia="宋体" w:cs="宋体"/>
          <w:b w:val="0"/>
          <w:bCs w:val="0"/>
          <w:color w:val="000000"/>
          <w:sz w:val="24"/>
          <w:szCs w:val="24"/>
          <w:lang w:val="en-US"/>
        </w:rPr>
        <w:t>2.运营服务的时间为：全年365天（包含周六、日及国家规定节假日），每天</w:t>
      </w:r>
      <w:r>
        <w:rPr>
          <w:rFonts w:hint="eastAsia" w:hAnsi="宋体" w:eastAsia="宋体" w:cs="宋体"/>
          <w:b w:val="0"/>
          <w:bCs w:val="0"/>
          <w:color w:val="000000"/>
          <w:sz w:val="24"/>
          <w:szCs w:val="24"/>
          <w:lang w:val="en-US" w:eastAsia="zh-CN"/>
        </w:rPr>
        <w:t>10</w:t>
      </w:r>
      <w:r>
        <w:rPr>
          <w:rFonts w:hint="eastAsia" w:hAnsi="宋体" w:eastAsia="宋体" w:cs="宋体"/>
          <w:b w:val="0"/>
          <w:bCs w:val="0"/>
          <w:color w:val="000000"/>
          <w:sz w:val="24"/>
          <w:szCs w:val="24"/>
          <w:lang w:val="en-US"/>
        </w:rPr>
        <w:t>小时（</w:t>
      </w:r>
      <w:r>
        <w:rPr>
          <w:rFonts w:hint="eastAsia" w:hAnsi="宋体" w:eastAsia="宋体" w:cs="宋体"/>
          <w:b w:val="0"/>
          <w:bCs w:val="0"/>
          <w:color w:val="000000"/>
          <w:sz w:val="24"/>
          <w:szCs w:val="24"/>
          <w:lang w:val="en-US" w:eastAsia="zh-CN"/>
        </w:rPr>
        <w:t>晚上21</w:t>
      </w:r>
      <w:r>
        <w:rPr>
          <w:rFonts w:hint="eastAsia" w:hAnsi="宋体" w:eastAsia="宋体" w:cs="宋体"/>
          <w:b w:val="0"/>
          <w:bCs w:val="0"/>
          <w:color w:val="000000"/>
          <w:sz w:val="24"/>
          <w:szCs w:val="24"/>
          <w:lang w:val="en-US"/>
        </w:rPr>
        <w:t>:00～</w:t>
      </w:r>
      <w:r>
        <w:rPr>
          <w:rFonts w:hint="eastAsia" w:hAnsi="宋体" w:eastAsia="宋体" w:cs="宋体"/>
          <w:b w:val="0"/>
          <w:bCs w:val="0"/>
          <w:color w:val="000000"/>
          <w:sz w:val="24"/>
          <w:szCs w:val="24"/>
          <w:lang w:val="en-US" w:eastAsia="zh-CN"/>
        </w:rPr>
        <w:t>次日7</w:t>
      </w:r>
      <w:r>
        <w:rPr>
          <w:rFonts w:hint="eastAsia" w:hAnsi="宋体" w:eastAsia="宋体" w:cs="宋体"/>
          <w:b w:val="0"/>
          <w:bCs w:val="0"/>
          <w:color w:val="000000"/>
          <w:sz w:val="24"/>
          <w:szCs w:val="24"/>
          <w:lang w:val="en-US"/>
        </w:rPr>
        <w:t>:00，时间段采购人可根据实际情况进行调整）</w:t>
      </w:r>
      <w:r>
        <w:rPr>
          <w:rFonts w:hint="eastAsia" w:hAnsi="宋体" w:eastAsia="宋体" w:cs="宋体"/>
          <w:b w:val="0"/>
          <w:bCs w:val="0"/>
          <w:color w:val="000000"/>
          <w:sz w:val="24"/>
          <w:szCs w:val="24"/>
          <w:lang w:val="en-US" w:eastAsia="zh-CN"/>
        </w:rPr>
        <w:t>，</w:t>
      </w:r>
      <w:r>
        <w:rPr>
          <w:rFonts w:hint="eastAsia" w:hAnsi="宋体" w:eastAsia="宋体" w:cs="宋体"/>
          <w:b w:val="0"/>
          <w:bCs w:val="0"/>
          <w:color w:val="000000"/>
          <w:sz w:val="24"/>
          <w:szCs w:val="24"/>
          <w:lang w:val="en-US"/>
        </w:rPr>
        <w:t>驻场总服务人数不少于2人</w:t>
      </w:r>
      <w:r>
        <w:rPr>
          <w:rFonts w:hint="eastAsia" w:hAnsi="宋体" w:eastAsia="宋体" w:cs="宋体"/>
          <w:b w:val="0"/>
          <w:bCs w:val="0"/>
          <w:color w:val="000000"/>
          <w:sz w:val="24"/>
          <w:szCs w:val="24"/>
          <w:lang w:val="en-US" w:eastAsia="zh-CN"/>
        </w:rPr>
        <w:t>。</w:t>
      </w:r>
    </w:p>
    <w:p>
      <w:pPr>
        <w:pStyle w:val="2"/>
        <w:kinsoku w:val="0"/>
        <w:overflowPunct w:val="0"/>
        <w:spacing w:line="360" w:lineRule="auto"/>
        <w:ind w:firstLine="480" w:firstLineChars="200"/>
        <w:jc w:val="both"/>
        <w:rPr>
          <w:rFonts w:hint="eastAsia" w:hAnsi="宋体" w:eastAsia="宋体" w:cs="宋体"/>
          <w:b w:val="0"/>
          <w:bCs w:val="0"/>
          <w:color w:val="000000"/>
          <w:sz w:val="24"/>
          <w:szCs w:val="24"/>
          <w:lang w:val="en-GB"/>
        </w:rPr>
      </w:pPr>
      <w:r>
        <w:rPr>
          <w:rFonts w:hint="eastAsia" w:hAnsi="宋体" w:eastAsia="宋体" w:cs="宋体"/>
          <w:b w:val="0"/>
          <w:bCs w:val="0"/>
          <w:color w:val="000000"/>
          <w:sz w:val="24"/>
          <w:szCs w:val="24"/>
          <w:lang w:val="en-US"/>
        </w:rPr>
        <w:t>3.</w:t>
      </w:r>
      <w:r>
        <w:rPr>
          <w:rFonts w:hint="eastAsia" w:hAnsi="宋体" w:eastAsia="宋体" w:cs="宋体"/>
          <w:b w:val="0"/>
          <w:bCs w:val="0"/>
          <w:color w:val="000000"/>
          <w:sz w:val="24"/>
          <w:szCs w:val="24"/>
          <w:lang w:val="en-GB"/>
        </w:rPr>
        <w:t>成交供应商须次月上旬提交上一个月设备的运行、安全状况报告和检</w:t>
      </w:r>
      <w:r>
        <w:rPr>
          <w:rFonts w:hint="eastAsia" w:hAnsi="宋体" w:eastAsia="宋体" w:cs="宋体"/>
          <w:b w:val="0"/>
          <w:bCs w:val="0"/>
          <w:color w:val="000000"/>
          <w:sz w:val="24"/>
          <w:szCs w:val="24"/>
          <w:lang w:val="en-US"/>
        </w:rPr>
        <w:t>查</w:t>
      </w:r>
      <w:r>
        <w:rPr>
          <w:rFonts w:hint="eastAsia" w:hAnsi="宋体" w:eastAsia="宋体" w:cs="宋体"/>
          <w:b w:val="0"/>
          <w:bCs w:val="0"/>
          <w:color w:val="000000"/>
          <w:sz w:val="24"/>
          <w:szCs w:val="24"/>
          <w:lang w:val="en-GB"/>
        </w:rPr>
        <w:t>记录，如有突发事故发生，自发生之日起两天内提供事件处理报告。</w:t>
      </w:r>
    </w:p>
    <w:p>
      <w:pPr>
        <w:pStyle w:val="2"/>
        <w:kinsoku w:val="0"/>
        <w:overflowPunct w:val="0"/>
        <w:spacing w:line="360" w:lineRule="auto"/>
        <w:ind w:firstLine="480" w:firstLineChars="200"/>
        <w:jc w:val="both"/>
        <w:rPr>
          <w:rFonts w:hint="eastAsia" w:hAnsi="宋体" w:eastAsia="宋体" w:cs="宋体"/>
          <w:b w:val="0"/>
          <w:bCs w:val="0"/>
          <w:color w:val="000000"/>
          <w:sz w:val="24"/>
          <w:szCs w:val="24"/>
          <w:lang w:val="en-US"/>
        </w:rPr>
      </w:pPr>
      <w:r>
        <w:rPr>
          <w:rFonts w:hint="eastAsia" w:hAnsi="宋体" w:eastAsia="宋体" w:cs="宋体"/>
          <w:b w:val="0"/>
          <w:bCs w:val="0"/>
          <w:color w:val="000000"/>
          <w:sz w:val="24"/>
          <w:szCs w:val="24"/>
          <w:lang w:val="en-US"/>
        </w:rPr>
        <w:t>4.</w:t>
      </w:r>
      <w:r>
        <w:rPr>
          <w:rFonts w:hint="eastAsia" w:hAnsi="宋体" w:eastAsia="宋体" w:cs="宋体"/>
          <w:b w:val="0"/>
          <w:bCs w:val="0"/>
          <w:color w:val="000000"/>
          <w:sz w:val="24"/>
          <w:szCs w:val="24"/>
          <w:lang w:val="en-GB"/>
        </w:rPr>
        <w:t>在系统运作期间污水处理设施出现故障的，成交供应商应及时向采购人汇报，</w:t>
      </w:r>
      <w:r>
        <w:rPr>
          <w:rFonts w:hint="eastAsia" w:hAnsi="宋体" w:eastAsia="宋体" w:cs="宋体"/>
          <w:b w:val="0"/>
          <w:bCs w:val="0"/>
          <w:color w:val="000000"/>
          <w:sz w:val="24"/>
          <w:szCs w:val="24"/>
          <w:lang w:val="en-US"/>
        </w:rPr>
        <w:t>成交供应商需协助采购人</w:t>
      </w:r>
      <w:r>
        <w:rPr>
          <w:rFonts w:hint="eastAsia" w:hAnsi="宋体" w:eastAsia="宋体" w:cs="宋体"/>
          <w:b w:val="0"/>
          <w:bCs w:val="0"/>
          <w:color w:val="000000"/>
          <w:sz w:val="24"/>
          <w:szCs w:val="24"/>
          <w:lang w:val="en-GB"/>
        </w:rPr>
        <w:t>检修，在24小时内恢复污水处理设施的正常运行。</w:t>
      </w:r>
    </w:p>
    <w:p>
      <w:pPr>
        <w:pStyle w:val="2"/>
        <w:kinsoku w:val="0"/>
        <w:overflowPunct w:val="0"/>
        <w:spacing w:line="360" w:lineRule="auto"/>
        <w:ind w:firstLine="480" w:firstLineChars="200"/>
        <w:jc w:val="both"/>
        <w:rPr>
          <w:rFonts w:hint="eastAsia" w:hAnsi="宋体" w:eastAsia="宋体" w:cs="宋体"/>
          <w:b w:val="0"/>
          <w:bCs w:val="0"/>
          <w:color w:val="000000"/>
          <w:sz w:val="24"/>
          <w:szCs w:val="24"/>
          <w:lang w:val="en-US"/>
        </w:rPr>
      </w:pPr>
      <w:r>
        <w:rPr>
          <w:rFonts w:hint="eastAsia" w:hAnsi="宋体" w:eastAsia="宋体" w:cs="宋体"/>
          <w:b w:val="0"/>
          <w:bCs w:val="0"/>
          <w:color w:val="000000"/>
          <w:sz w:val="24"/>
          <w:szCs w:val="24"/>
          <w:lang w:val="en-US" w:eastAsia="zh-CN"/>
        </w:rPr>
        <w:t>5</w:t>
      </w:r>
      <w:r>
        <w:rPr>
          <w:rFonts w:hint="eastAsia" w:hAnsi="宋体" w:eastAsia="宋体" w:cs="宋体"/>
          <w:b w:val="0"/>
          <w:bCs w:val="0"/>
          <w:color w:val="000000"/>
          <w:sz w:val="24"/>
          <w:szCs w:val="24"/>
          <w:lang w:val="en-US"/>
        </w:rPr>
        <w:t>.人员配置要求：</w:t>
      </w:r>
    </w:p>
    <w:p>
      <w:pPr>
        <w:pStyle w:val="2"/>
        <w:kinsoku w:val="0"/>
        <w:overflowPunct w:val="0"/>
        <w:spacing w:line="360" w:lineRule="auto"/>
        <w:ind w:firstLine="480" w:firstLineChars="200"/>
        <w:jc w:val="both"/>
        <w:rPr>
          <w:rFonts w:hint="eastAsia" w:hAnsi="宋体" w:eastAsia="宋体" w:cs="宋体"/>
          <w:b w:val="0"/>
          <w:bCs w:val="0"/>
          <w:color w:val="000000"/>
          <w:sz w:val="24"/>
          <w:szCs w:val="24"/>
          <w:lang w:val="en-US"/>
        </w:rPr>
      </w:pPr>
      <w:r>
        <w:rPr>
          <w:rFonts w:hint="eastAsia" w:hAnsi="宋体" w:eastAsia="宋体" w:cs="宋体"/>
          <w:b w:val="0"/>
          <w:bCs w:val="0"/>
          <w:color w:val="000000"/>
          <w:sz w:val="24"/>
          <w:szCs w:val="24"/>
          <w:lang w:val="en-US"/>
        </w:rPr>
        <w:t>★</w:t>
      </w:r>
      <w:r>
        <w:rPr>
          <w:rFonts w:hint="eastAsia" w:hAnsi="宋体" w:eastAsia="宋体" w:cs="宋体"/>
          <w:b w:val="0"/>
          <w:bCs w:val="0"/>
          <w:color w:val="000000"/>
          <w:sz w:val="24"/>
          <w:szCs w:val="24"/>
          <w:lang w:val="en-US" w:eastAsia="zh-CN"/>
        </w:rPr>
        <w:t>（1）</w:t>
      </w:r>
      <w:r>
        <w:rPr>
          <w:rFonts w:hint="eastAsia" w:hAnsi="宋体" w:eastAsia="宋体" w:cs="宋体"/>
          <w:b w:val="0"/>
          <w:bCs w:val="0"/>
          <w:color w:val="000000"/>
          <w:sz w:val="24"/>
          <w:szCs w:val="24"/>
          <w:lang w:val="en-US"/>
        </w:rPr>
        <w:t>成交供应商应委派固定的具备相关资质专业技术人员并持《</w:t>
      </w:r>
      <w:r>
        <w:rPr>
          <w:rFonts w:hint="eastAsia" w:hAnsi="宋体" w:eastAsia="宋体" w:cs="宋体"/>
          <w:b w:val="0"/>
          <w:bCs w:val="0"/>
          <w:color w:val="000000"/>
          <w:sz w:val="24"/>
          <w:szCs w:val="24"/>
          <w:lang w:val="en-US" w:eastAsia="zh-CN"/>
        </w:rPr>
        <w:t>污水处理工职业资格证书</w:t>
      </w:r>
      <w:r>
        <w:rPr>
          <w:rFonts w:hint="eastAsia" w:hAnsi="宋体" w:eastAsia="宋体" w:cs="宋体"/>
          <w:b w:val="0"/>
          <w:bCs w:val="0"/>
          <w:color w:val="000000"/>
          <w:sz w:val="24"/>
          <w:szCs w:val="24"/>
          <w:lang w:val="en-US"/>
        </w:rPr>
        <w:t>》</w:t>
      </w:r>
      <w:r>
        <w:rPr>
          <w:rFonts w:hint="eastAsia" w:hAnsi="宋体" w:eastAsia="宋体" w:cs="宋体"/>
          <w:b w:val="0"/>
          <w:bCs w:val="0"/>
          <w:color w:val="000000"/>
          <w:sz w:val="24"/>
          <w:szCs w:val="24"/>
          <w:lang w:val="en-US" w:eastAsia="zh-CN"/>
        </w:rPr>
        <w:t>或《</w:t>
      </w:r>
      <w:r>
        <w:rPr>
          <w:rFonts w:hint="eastAsia" w:hAnsi="宋体" w:eastAsia="宋体" w:cs="宋体"/>
          <w:b w:val="0"/>
          <w:bCs w:val="0"/>
          <w:color w:val="000000"/>
          <w:sz w:val="24"/>
          <w:szCs w:val="24"/>
          <w:lang w:val="en-US" w:eastAsia="zh-CN"/>
        </w:rPr>
        <w:fldChar w:fldCharType="begin"/>
      </w:r>
      <w:r>
        <w:rPr>
          <w:rFonts w:hint="eastAsia" w:hAnsi="宋体" w:eastAsia="宋体" w:cs="宋体"/>
          <w:b w:val="0"/>
          <w:bCs w:val="0"/>
          <w:color w:val="000000"/>
          <w:sz w:val="24"/>
          <w:szCs w:val="24"/>
          <w:lang w:val="en-US" w:eastAsia="zh-CN"/>
        </w:rPr>
        <w:instrText xml:space="preserve"> HYPERLINK "https://baike.baidu.com/item/%E5%B7%A5%E4%B8%9A%E5%BA%9F%E6%B0%B4%E5%A4%84%E7%90%86%E5%B7%A5/23613871" \t "https://baike.baidu.com/item/%E6%B1%A1%E6%B0%B4%EF%BC%88%E5%BA%9F%E6%B0%B4%EF%BC%89%E5%A4%84%E7%90%86%E5%B7%A5%E8%81%8C%E4%B8%9A%E8%B5%84%E6%A0%BC%E8%AF%81%E4%B9%A6/_blank" </w:instrText>
      </w:r>
      <w:r>
        <w:rPr>
          <w:rFonts w:hint="eastAsia" w:hAnsi="宋体" w:eastAsia="宋体" w:cs="宋体"/>
          <w:b w:val="0"/>
          <w:bCs w:val="0"/>
          <w:color w:val="000000"/>
          <w:sz w:val="24"/>
          <w:szCs w:val="24"/>
          <w:lang w:val="en-US" w:eastAsia="zh-CN"/>
        </w:rPr>
        <w:fldChar w:fldCharType="separate"/>
      </w:r>
      <w:r>
        <w:rPr>
          <w:rFonts w:hint="eastAsia" w:hAnsi="宋体" w:eastAsia="宋体" w:cs="宋体"/>
          <w:b w:val="0"/>
          <w:bCs w:val="0"/>
          <w:color w:val="000000"/>
          <w:sz w:val="24"/>
          <w:szCs w:val="24"/>
          <w:lang w:val="en-US" w:eastAsia="zh-CN"/>
        </w:rPr>
        <w:t>工业废水处理工</w:t>
      </w:r>
      <w:r>
        <w:rPr>
          <w:rFonts w:hint="eastAsia" w:hAnsi="宋体" w:eastAsia="宋体" w:cs="宋体"/>
          <w:b w:val="0"/>
          <w:bCs w:val="0"/>
          <w:color w:val="000000"/>
          <w:sz w:val="24"/>
          <w:szCs w:val="24"/>
          <w:lang w:val="en-US" w:eastAsia="zh-CN"/>
        </w:rPr>
        <w:fldChar w:fldCharType="end"/>
      </w:r>
      <w:r>
        <w:rPr>
          <w:rFonts w:hint="eastAsia" w:hAnsi="宋体" w:eastAsia="宋体" w:cs="宋体"/>
          <w:b w:val="0"/>
          <w:bCs w:val="0"/>
          <w:color w:val="000000"/>
          <w:sz w:val="24"/>
          <w:szCs w:val="24"/>
          <w:lang w:val="en-US" w:eastAsia="zh-CN"/>
        </w:rPr>
        <w:t>职业资格证书》</w:t>
      </w:r>
      <w:r>
        <w:rPr>
          <w:rFonts w:hint="eastAsia" w:hAnsi="宋体" w:eastAsia="宋体" w:cs="宋体"/>
          <w:b w:val="0"/>
          <w:bCs w:val="0"/>
          <w:color w:val="000000"/>
          <w:sz w:val="24"/>
          <w:szCs w:val="24"/>
          <w:lang w:val="en-US"/>
        </w:rPr>
        <w:t>上岗驻场负责采购人的污水处理站运营管理工作，</w:t>
      </w:r>
      <w:r>
        <w:rPr>
          <w:rFonts w:hint="eastAsia" w:hAnsi="宋体" w:eastAsia="宋体" w:cs="宋体"/>
          <w:b w:val="0"/>
          <w:bCs w:val="0"/>
          <w:color w:val="000000"/>
          <w:sz w:val="24"/>
          <w:szCs w:val="24"/>
          <w:lang w:val="en-US" w:eastAsia="zh-CN"/>
        </w:rPr>
        <w:t>委派的工作</w:t>
      </w:r>
      <w:r>
        <w:rPr>
          <w:rFonts w:hint="eastAsia" w:hAnsi="宋体" w:eastAsia="宋体" w:cs="宋体"/>
          <w:b w:val="0"/>
          <w:bCs w:val="0"/>
          <w:color w:val="000000"/>
          <w:sz w:val="24"/>
          <w:szCs w:val="24"/>
          <w:lang w:val="en-US"/>
        </w:rPr>
        <w:t>人员应具有初中及以上文化。成交供应商必须将公司的资质证书复印件和技术人员上岗证复印件交给采购人存档备案；如果遇到驻守人员无法解决的问题时，成交供应商应尽一切能力为本项目提供技术和设备支持。</w:t>
      </w:r>
    </w:p>
    <w:p>
      <w:pPr>
        <w:pStyle w:val="2"/>
        <w:kinsoku w:val="0"/>
        <w:overflowPunct w:val="0"/>
        <w:spacing w:line="360" w:lineRule="auto"/>
        <w:ind w:firstLine="480" w:firstLineChars="200"/>
        <w:jc w:val="both"/>
        <w:rPr>
          <w:rFonts w:hint="eastAsia" w:hAnsi="宋体" w:eastAsia="宋体" w:cs="宋体"/>
          <w:b w:val="0"/>
          <w:bCs w:val="0"/>
          <w:color w:val="000000"/>
          <w:sz w:val="24"/>
          <w:szCs w:val="24"/>
          <w:lang w:val="en-US"/>
        </w:rPr>
      </w:pPr>
      <w:r>
        <w:rPr>
          <w:rFonts w:hint="eastAsia" w:hAnsi="宋体" w:eastAsia="宋体" w:cs="宋体"/>
          <w:b w:val="0"/>
          <w:bCs w:val="0"/>
          <w:color w:val="000000"/>
          <w:sz w:val="24"/>
          <w:szCs w:val="24"/>
          <w:lang w:val="en-US"/>
        </w:rPr>
        <w:t>（2）成交供应商委派的运营人员应服务态度好，品行良好，身体健康并能胜任岗位的工作，无传染性疾病、无违法犯罪记录。（员工入职前成交供应商应将人员名单提交给当地派出所核查，核查无犯罪记录后才可入职，否则所造成的一切后果及责任由成交供应商承担）。</w:t>
      </w:r>
    </w:p>
    <w:p>
      <w:pPr>
        <w:pStyle w:val="2"/>
        <w:kinsoku w:val="0"/>
        <w:overflowPunct w:val="0"/>
        <w:spacing w:line="360" w:lineRule="auto"/>
        <w:ind w:firstLine="480" w:firstLineChars="200"/>
        <w:jc w:val="both"/>
        <w:rPr>
          <w:rFonts w:hint="eastAsia" w:hAnsi="宋体" w:eastAsia="宋体" w:cs="宋体"/>
          <w:b w:val="0"/>
          <w:bCs w:val="0"/>
          <w:color w:val="000000"/>
          <w:sz w:val="24"/>
          <w:szCs w:val="24"/>
          <w:lang w:val="en-US"/>
        </w:rPr>
      </w:pPr>
      <w:r>
        <w:rPr>
          <w:rFonts w:hint="eastAsia" w:hAnsi="宋体" w:eastAsia="宋体" w:cs="宋体"/>
          <w:b w:val="0"/>
          <w:bCs w:val="0"/>
          <w:color w:val="000000"/>
          <w:sz w:val="24"/>
          <w:szCs w:val="24"/>
          <w:lang w:val="en-US"/>
        </w:rPr>
        <w:t>7.人员稳定性要求：</w:t>
      </w:r>
    </w:p>
    <w:p>
      <w:pPr>
        <w:pStyle w:val="2"/>
        <w:kinsoku w:val="0"/>
        <w:overflowPunct w:val="0"/>
        <w:spacing w:line="360" w:lineRule="auto"/>
        <w:ind w:firstLine="480" w:firstLineChars="200"/>
        <w:jc w:val="both"/>
        <w:rPr>
          <w:rFonts w:hint="eastAsia" w:hAnsi="宋体" w:eastAsia="宋体" w:cs="宋体"/>
          <w:b w:val="0"/>
          <w:bCs w:val="0"/>
          <w:color w:val="000000"/>
          <w:sz w:val="24"/>
          <w:szCs w:val="24"/>
          <w:lang w:val="en-US"/>
        </w:rPr>
      </w:pPr>
      <w:r>
        <w:rPr>
          <w:rFonts w:hint="eastAsia" w:hAnsi="宋体" w:eastAsia="宋体" w:cs="宋体"/>
          <w:b w:val="0"/>
          <w:bCs w:val="0"/>
          <w:color w:val="000000"/>
          <w:sz w:val="24"/>
          <w:szCs w:val="24"/>
          <w:lang w:val="en-US"/>
        </w:rPr>
        <w:t>★（1）成交供应商应确保人员的稳定性，经采购人认可的</w:t>
      </w:r>
      <w:r>
        <w:rPr>
          <w:rFonts w:hint="eastAsia" w:hAnsi="宋体" w:eastAsia="宋体" w:cs="宋体"/>
          <w:b w:val="0"/>
          <w:bCs w:val="0"/>
          <w:color w:val="000000"/>
          <w:sz w:val="24"/>
          <w:szCs w:val="24"/>
          <w:lang w:val="en-US" w:eastAsia="zh-CN"/>
        </w:rPr>
        <w:t>工作</w:t>
      </w:r>
      <w:r>
        <w:rPr>
          <w:rFonts w:hint="eastAsia" w:hAnsi="宋体" w:eastAsia="宋体" w:cs="宋体"/>
          <w:b w:val="0"/>
          <w:bCs w:val="0"/>
          <w:color w:val="000000"/>
          <w:sz w:val="24"/>
          <w:szCs w:val="24"/>
          <w:lang w:val="en-US"/>
        </w:rPr>
        <w:t>人员不得随意频繁更换，如因成交供应商原因需更换的，需向采购人提出书面更换申请并经采购人同意后方可进行更换，且不得影响维保服务工作的正常开展。</w:t>
      </w:r>
    </w:p>
    <w:p>
      <w:pPr>
        <w:pStyle w:val="2"/>
        <w:kinsoku w:val="0"/>
        <w:overflowPunct w:val="0"/>
        <w:spacing w:line="360" w:lineRule="auto"/>
        <w:ind w:firstLine="480" w:firstLineChars="200"/>
        <w:jc w:val="both"/>
        <w:rPr>
          <w:rFonts w:hint="eastAsia" w:hAnsi="宋体" w:eastAsia="宋体" w:cs="宋体"/>
          <w:b w:val="0"/>
          <w:bCs w:val="0"/>
          <w:color w:val="000000"/>
          <w:sz w:val="24"/>
          <w:szCs w:val="24"/>
          <w:lang w:val="en-US"/>
        </w:rPr>
      </w:pPr>
      <w:r>
        <w:rPr>
          <w:rFonts w:hint="eastAsia" w:hAnsi="宋体" w:eastAsia="宋体" w:cs="宋体"/>
          <w:b w:val="0"/>
          <w:bCs w:val="0"/>
          <w:color w:val="000000"/>
          <w:sz w:val="24"/>
          <w:szCs w:val="24"/>
          <w:lang w:val="en-US"/>
        </w:rPr>
        <w:t>★（2）不能胜任的工作人员应及时更换。</w:t>
      </w:r>
    </w:p>
    <w:p>
      <w:pPr>
        <w:pStyle w:val="2"/>
        <w:kinsoku w:val="0"/>
        <w:overflowPunct w:val="0"/>
        <w:spacing w:line="360" w:lineRule="auto"/>
        <w:ind w:firstLine="480" w:firstLineChars="200"/>
        <w:jc w:val="both"/>
        <w:rPr>
          <w:rFonts w:hint="eastAsia" w:hAnsi="宋体" w:eastAsia="宋体" w:cs="宋体"/>
          <w:b w:val="0"/>
          <w:bCs w:val="0"/>
          <w:color w:val="000000"/>
          <w:sz w:val="24"/>
          <w:szCs w:val="24"/>
          <w:lang w:val="en-US"/>
        </w:rPr>
      </w:pPr>
      <w:r>
        <w:rPr>
          <w:rFonts w:hint="eastAsia" w:hAnsi="宋体" w:eastAsia="宋体" w:cs="宋体"/>
          <w:b w:val="0"/>
          <w:bCs w:val="0"/>
          <w:color w:val="000000"/>
          <w:sz w:val="24"/>
          <w:szCs w:val="24"/>
          <w:lang w:val="en-US"/>
        </w:rPr>
        <w:t>如果成交供应商委派的工作人员不符合要求（有事实依据证明不能胜任该岗位）的，采购人有权要求成交供应商更换人员至合格为止。成交供应商接到采购人书面换人通知后，应在1周内更换合格的人员到位，逾期不更换或更换的人员仍不符合要求的，成交供应商有权扣减该月的服务费，直至合格人员到位为止。</w:t>
      </w:r>
    </w:p>
    <w:p>
      <w:pPr>
        <w:pStyle w:val="2"/>
        <w:kinsoku w:val="0"/>
        <w:overflowPunct w:val="0"/>
        <w:spacing w:line="360" w:lineRule="auto"/>
        <w:ind w:firstLine="480" w:firstLineChars="200"/>
        <w:jc w:val="both"/>
        <w:rPr>
          <w:rFonts w:hint="eastAsia" w:hAnsi="宋体" w:eastAsia="宋体" w:cs="宋体"/>
          <w:b w:val="0"/>
          <w:bCs w:val="0"/>
          <w:color w:val="000000"/>
          <w:sz w:val="24"/>
          <w:szCs w:val="24"/>
          <w:lang w:val="en-US"/>
        </w:rPr>
      </w:pPr>
      <w:r>
        <w:rPr>
          <w:rFonts w:hint="eastAsia" w:hAnsi="宋体" w:eastAsia="宋体" w:cs="宋体"/>
          <w:b w:val="0"/>
          <w:bCs w:val="0"/>
          <w:color w:val="000000"/>
          <w:sz w:val="24"/>
          <w:szCs w:val="24"/>
          <w:lang w:val="en-US"/>
        </w:rPr>
        <w:t>（</w:t>
      </w:r>
      <w:r>
        <w:rPr>
          <w:rFonts w:hint="eastAsia" w:hAnsi="宋体" w:eastAsia="宋体" w:cs="宋体"/>
          <w:b w:val="0"/>
          <w:bCs w:val="0"/>
          <w:color w:val="000000"/>
          <w:sz w:val="24"/>
          <w:szCs w:val="24"/>
          <w:lang w:val="en-US" w:eastAsia="zh-CN"/>
        </w:rPr>
        <w:t>3</w:t>
      </w:r>
      <w:r>
        <w:rPr>
          <w:rFonts w:hint="eastAsia" w:hAnsi="宋体" w:eastAsia="宋体" w:cs="宋体"/>
          <w:b w:val="0"/>
          <w:bCs w:val="0"/>
          <w:color w:val="000000"/>
          <w:sz w:val="24"/>
          <w:szCs w:val="24"/>
          <w:lang w:val="en-US"/>
        </w:rPr>
        <w:t>）因中标人的</w:t>
      </w:r>
      <w:r>
        <w:rPr>
          <w:rFonts w:hint="eastAsia" w:hAnsi="宋体" w:eastAsia="宋体" w:cs="宋体"/>
          <w:b w:val="0"/>
          <w:bCs w:val="0"/>
          <w:color w:val="000000"/>
          <w:sz w:val="24"/>
          <w:szCs w:val="24"/>
          <w:lang w:val="en-US" w:eastAsia="zh-CN"/>
        </w:rPr>
        <w:t>工作</w:t>
      </w:r>
      <w:r>
        <w:rPr>
          <w:rFonts w:hint="eastAsia" w:hAnsi="宋体" w:eastAsia="宋体" w:cs="宋体"/>
          <w:b w:val="0"/>
          <w:bCs w:val="0"/>
          <w:color w:val="000000"/>
          <w:sz w:val="24"/>
          <w:szCs w:val="24"/>
          <w:lang w:val="en-US"/>
        </w:rPr>
        <w:t>人员不稳定导致运营管理服务质量不达标时，采购人有权根据质量考评结果对当月服务费进行扣罚。</w:t>
      </w:r>
    </w:p>
    <w:p>
      <w:pPr>
        <w:pStyle w:val="2"/>
        <w:kinsoku w:val="0"/>
        <w:overflowPunct w:val="0"/>
        <w:spacing w:line="360" w:lineRule="auto"/>
        <w:ind w:firstLine="480" w:firstLineChars="200"/>
        <w:jc w:val="both"/>
        <w:rPr>
          <w:rFonts w:hint="eastAsia" w:hAnsi="宋体" w:eastAsia="宋体" w:cs="宋体"/>
          <w:b w:val="0"/>
          <w:bCs w:val="0"/>
          <w:color w:val="000000"/>
          <w:sz w:val="24"/>
          <w:szCs w:val="24"/>
          <w:lang w:val="en-US"/>
        </w:rPr>
      </w:pPr>
      <w:r>
        <w:rPr>
          <w:rFonts w:hint="eastAsia" w:hAnsi="宋体" w:eastAsia="宋体" w:cs="宋体"/>
          <w:b w:val="0"/>
          <w:bCs w:val="0"/>
          <w:color w:val="000000"/>
          <w:sz w:val="24"/>
          <w:szCs w:val="24"/>
          <w:lang w:val="en-US"/>
        </w:rPr>
        <w:t>★8.成交供应商需按国家法律、法规的相关规定，为指派在采购人处工作的员工办理劳动用工手续，并承担保险、工资、劳保福利及其它一切费用，因违法用工造成的法律后果全部由成交供应商承担。</w:t>
      </w:r>
    </w:p>
    <w:p>
      <w:pPr>
        <w:pStyle w:val="2"/>
        <w:kinsoku w:val="0"/>
        <w:overflowPunct w:val="0"/>
        <w:spacing w:line="360" w:lineRule="auto"/>
        <w:ind w:firstLine="480" w:firstLineChars="200"/>
        <w:jc w:val="both"/>
        <w:rPr>
          <w:rFonts w:hint="eastAsia" w:hAnsi="宋体" w:eastAsia="宋体" w:cs="宋体"/>
          <w:b w:val="0"/>
          <w:bCs w:val="0"/>
          <w:color w:val="000000"/>
          <w:sz w:val="24"/>
          <w:szCs w:val="24"/>
          <w:lang w:val="en-US"/>
        </w:rPr>
      </w:pPr>
      <w:r>
        <w:rPr>
          <w:rFonts w:hint="eastAsia" w:hAnsi="宋体" w:eastAsia="宋体" w:cs="宋体"/>
          <w:b w:val="0"/>
          <w:bCs w:val="0"/>
          <w:color w:val="000000"/>
          <w:sz w:val="24"/>
          <w:szCs w:val="24"/>
          <w:lang w:val="en-US"/>
        </w:rPr>
        <w:t>★9.成交供应商应切实加强现场管理,并接受采购人的监督管理，确保服务到位。成交供应商确保在采购人单位内的作业符合国家和地方的安全作业规范，并负责工作人员的人身意外险及其它意外风险。由于成交供应商原因造成安全事故的发生，一切责任及损失由成交供应商负责。</w:t>
      </w:r>
    </w:p>
    <w:p>
      <w:pPr>
        <w:pStyle w:val="2"/>
        <w:kinsoku w:val="0"/>
        <w:overflowPunct w:val="0"/>
        <w:spacing w:line="360" w:lineRule="auto"/>
        <w:ind w:firstLine="480" w:firstLineChars="200"/>
        <w:jc w:val="both"/>
        <w:rPr>
          <w:rFonts w:hint="eastAsia" w:hAnsi="宋体" w:eastAsia="宋体" w:cs="宋体"/>
          <w:b w:val="0"/>
          <w:bCs w:val="0"/>
          <w:color w:val="000000"/>
          <w:sz w:val="24"/>
          <w:szCs w:val="24"/>
          <w:lang w:val="en-US"/>
        </w:rPr>
      </w:pPr>
      <w:r>
        <w:rPr>
          <w:rFonts w:hint="eastAsia" w:hAnsi="宋体" w:eastAsia="宋体" w:cs="宋体"/>
          <w:b w:val="0"/>
          <w:bCs w:val="0"/>
          <w:color w:val="000000"/>
          <w:sz w:val="24"/>
          <w:szCs w:val="24"/>
          <w:lang w:val="en-US"/>
        </w:rPr>
        <w:t>10.成交供应商按规定进行有序的运营管理工作，并保证所有指派到采购人处工作的人员均经过至少2天岗前培训。成交供应商应定期委派总公司运营指导人员到采购人运营场所进行驻守人员的指导及培训。</w:t>
      </w:r>
    </w:p>
    <w:p>
      <w:pPr>
        <w:pStyle w:val="2"/>
        <w:kinsoku w:val="0"/>
        <w:overflowPunct w:val="0"/>
        <w:spacing w:line="360" w:lineRule="auto"/>
        <w:ind w:firstLine="480" w:firstLineChars="200"/>
        <w:jc w:val="both"/>
        <w:rPr>
          <w:rFonts w:hint="eastAsia" w:hAnsi="宋体" w:eastAsia="宋体" w:cs="宋体"/>
          <w:b w:val="0"/>
          <w:bCs w:val="0"/>
          <w:color w:val="000000"/>
          <w:sz w:val="24"/>
          <w:szCs w:val="24"/>
          <w:lang w:val="en-US"/>
        </w:rPr>
      </w:pPr>
      <w:r>
        <w:rPr>
          <w:rFonts w:hint="eastAsia" w:hAnsi="宋体" w:eastAsia="宋体" w:cs="宋体"/>
          <w:b w:val="0"/>
          <w:bCs w:val="0"/>
          <w:color w:val="000000"/>
          <w:sz w:val="24"/>
          <w:szCs w:val="24"/>
          <w:lang w:val="en-US"/>
        </w:rPr>
        <w:t>11.成交供应商需建立设备运行记录、用料记录、检验检测记录，定期严格按照闭环管理处理故障，并把处理情况反馈给采购人。</w:t>
      </w:r>
    </w:p>
    <w:p>
      <w:pPr>
        <w:pStyle w:val="2"/>
        <w:kinsoku w:val="0"/>
        <w:overflowPunct w:val="0"/>
        <w:spacing w:line="360" w:lineRule="auto"/>
        <w:ind w:firstLine="480" w:firstLineChars="200"/>
        <w:jc w:val="both"/>
        <w:rPr>
          <w:rFonts w:hint="eastAsia" w:hAnsi="宋体" w:eastAsia="宋体" w:cs="宋体"/>
          <w:b w:val="0"/>
          <w:bCs w:val="0"/>
          <w:color w:val="000000"/>
          <w:sz w:val="24"/>
          <w:szCs w:val="24"/>
          <w:lang w:val="en-US"/>
        </w:rPr>
      </w:pPr>
      <w:r>
        <w:rPr>
          <w:rFonts w:hint="eastAsia" w:hAnsi="宋体" w:eastAsia="宋体" w:cs="宋体"/>
          <w:b w:val="0"/>
          <w:bCs w:val="0"/>
          <w:color w:val="000000"/>
          <w:sz w:val="24"/>
          <w:szCs w:val="24"/>
          <w:lang w:val="en-US"/>
        </w:rPr>
        <w:t>12.在处理特殊事件和紧急、突发事故时，采购人有直接指挥权；对安全事故及重大故障，成交供应商必须按照重大故障上报机制执行，要把最新处理情况即时反馈给采购人，禁止隐瞒的行为。</w:t>
      </w:r>
    </w:p>
    <w:p>
      <w:pPr>
        <w:pStyle w:val="2"/>
        <w:kinsoku w:val="0"/>
        <w:overflowPunct w:val="0"/>
        <w:spacing w:line="360" w:lineRule="auto"/>
        <w:ind w:firstLine="480" w:firstLineChars="200"/>
        <w:jc w:val="both"/>
        <w:rPr>
          <w:rFonts w:hint="eastAsia" w:hAnsi="宋体" w:eastAsia="宋体" w:cs="宋体"/>
          <w:b w:val="0"/>
          <w:bCs w:val="0"/>
          <w:color w:val="000000"/>
          <w:sz w:val="24"/>
          <w:szCs w:val="24"/>
          <w:lang w:val="en-US"/>
        </w:rPr>
      </w:pPr>
      <w:r>
        <w:rPr>
          <w:rFonts w:hint="eastAsia" w:hAnsi="宋体" w:eastAsia="宋体" w:cs="宋体"/>
          <w:b w:val="0"/>
          <w:bCs w:val="0"/>
          <w:color w:val="000000"/>
          <w:sz w:val="24"/>
          <w:szCs w:val="24"/>
          <w:lang w:val="en-US"/>
        </w:rPr>
        <w:t>13.成交供应商每月10日前向采购人提交上一个月的运行记录、值班记录及检验检测记录等相关记录文件，原始记录交采购人保存；年终提交全年工作总结报告。</w:t>
      </w:r>
    </w:p>
    <w:p>
      <w:pPr>
        <w:pStyle w:val="2"/>
        <w:kinsoku w:val="0"/>
        <w:overflowPunct w:val="0"/>
        <w:spacing w:line="360" w:lineRule="auto"/>
        <w:ind w:firstLine="480" w:firstLineChars="200"/>
        <w:jc w:val="both"/>
        <w:rPr>
          <w:rFonts w:hint="eastAsia" w:hAnsi="宋体" w:eastAsia="宋体" w:cs="宋体"/>
          <w:b w:val="0"/>
          <w:bCs w:val="0"/>
          <w:color w:val="000000"/>
          <w:sz w:val="24"/>
          <w:szCs w:val="24"/>
          <w:lang w:val="en-US"/>
        </w:rPr>
      </w:pPr>
      <w:r>
        <w:rPr>
          <w:rFonts w:hint="eastAsia" w:hAnsi="宋体" w:eastAsia="宋体" w:cs="宋体"/>
          <w:b w:val="0"/>
          <w:bCs w:val="0"/>
          <w:color w:val="000000"/>
          <w:sz w:val="24"/>
          <w:szCs w:val="24"/>
          <w:lang w:val="en-US"/>
        </w:rPr>
        <w:t>14.成交供应商于月度结算时向采购人提交相关票据、资料等进行结算，如因成交供应商原因未及时提供相关票据资料造成结算延误，采购人不承担逾期付款责任。</w:t>
      </w:r>
    </w:p>
    <w:p>
      <w:pPr>
        <w:pStyle w:val="2"/>
        <w:kinsoku w:val="0"/>
        <w:overflowPunct w:val="0"/>
        <w:spacing w:line="360" w:lineRule="auto"/>
        <w:ind w:firstLine="480" w:firstLineChars="200"/>
        <w:jc w:val="both"/>
        <w:rPr>
          <w:rFonts w:hint="eastAsia" w:hAnsi="宋体" w:eastAsia="宋体" w:cs="宋体"/>
          <w:b w:val="0"/>
          <w:bCs w:val="0"/>
          <w:color w:val="000000"/>
          <w:sz w:val="24"/>
          <w:szCs w:val="24"/>
          <w:lang w:val="en-US"/>
        </w:rPr>
      </w:pPr>
      <w:r>
        <w:rPr>
          <w:rFonts w:hint="eastAsia" w:hAnsi="宋体" w:eastAsia="宋体" w:cs="宋体"/>
          <w:b w:val="0"/>
          <w:bCs w:val="0"/>
          <w:color w:val="000000"/>
          <w:sz w:val="24"/>
          <w:szCs w:val="24"/>
          <w:lang w:val="en-US"/>
        </w:rPr>
        <w:t>15.成交供应商员工所需的防护用品如橡胶手套、口罩、眼罩、隔离帽、隔离服等由成交供应商自行负责。</w:t>
      </w:r>
    </w:p>
    <w:p>
      <w:pPr>
        <w:pStyle w:val="2"/>
        <w:kinsoku w:val="0"/>
        <w:overflowPunct w:val="0"/>
        <w:spacing w:line="360" w:lineRule="auto"/>
        <w:ind w:firstLine="480" w:firstLineChars="200"/>
        <w:jc w:val="both"/>
        <w:rPr>
          <w:rFonts w:hint="eastAsia" w:hAnsi="宋体" w:eastAsia="宋体" w:cs="宋体"/>
          <w:b w:val="0"/>
          <w:bCs w:val="0"/>
          <w:color w:val="000000"/>
          <w:sz w:val="24"/>
          <w:szCs w:val="24"/>
          <w:lang w:val="en-US"/>
        </w:rPr>
      </w:pPr>
      <w:r>
        <w:rPr>
          <w:rFonts w:hint="eastAsia" w:hAnsi="宋体" w:eastAsia="宋体" w:cs="宋体"/>
          <w:b w:val="0"/>
          <w:bCs w:val="0"/>
          <w:color w:val="000000"/>
          <w:sz w:val="24"/>
          <w:szCs w:val="24"/>
          <w:lang w:val="en-US"/>
        </w:rPr>
        <w:t>★16.成交供应商不得擅自闲置或人为损坏污水处理设施，并应做好设施围蔽、标识等工作。否则，采购人有权解除合同，由此造成的所有损失由成交供应商承担。</w:t>
      </w:r>
    </w:p>
    <w:p>
      <w:pPr>
        <w:pStyle w:val="2"/>
        <w:kinsoku w:val="0"/>
        <w:overflowPunct w:val="0"/>
        <w:spacing w:line="360" w:lineRule="auto"/>
        <w:ind w:firstLine="480" w:firstLineChars="200"/>
        <w:jc w:val="both"/>
        <w:rPr>
          <w:rFonts w:hint="eastAsia" w:hAnsi="宋体" w:eastAsia="宋体" w:cs="宋体"/>
          <w:b w:val="0"/>
          <w:bCs w:val="0"/>
          <w:color w:val="000000"/>
          <w:sz w:val="24"/>
          <w:szCs w:val="24"/>
          <w:lang w:val="en-US"/>
        </w:rPr>
      </w:pPr>
      <w:r>
        <w:rPr>
          <w:rFonts w:hint="eastAsia" w:hAnsi="宋体" w:eastAsia="宋体" w:cs="宋体"/>
          <w:b w:val="0"/>
          <w:bCs w:val="0"/>
          <w:color w:val="000000"/>
          <w:sz w:val="24"/>
          <w:szCs w:val="24"/>
          <w:lang w:val="en-US"/>
        </w:rPr>
        <w:t>★</w:t>
      </w:r>
      <w:r>
        <w:rPr>
          <w:rFonts w:hint="eastAsia" w:hAnsi="宋体" w:eastAsia="宋体" w:cs="宋体"/>
          <w:b w:val="0"/>
          <w:bCs w:val="0"/>
          <w:color w:val="000000"/>
          <w:sz w:val="24"/>
          <w:szCs w:val="24"/>
          <w:lang w:val="en-US" w:eastAsia="zh-CN"/>
        </w:rPr>
        <w:t>17.</w:t>
      </w:r>
      <w:r>
        <w:rPr>
          <w:rFonts w:hint="eastAsia" w:hAnsi="宋体" w:eastAsia="宋体" w:cs="宋体"/>
          <w:b w:val="0"/>
          <w:bCs w:val="0"/>
          <w:color w:val="000000"/>
          <w:sz w:val="24"/>
          <w:szCs w:val="24"/>
          <w:lang w:val="en-US"/>
        </w:rPr>
        <w:t>成交供应商驻守的工作人员应遵守采购人的各项规章制度及疫情防控要求，服从指挥，配合</w:t>
      </w:r>
      <w:r>
        <w:rPr>
          <w:rFonts w:hint="eastAsia" w:hAnsi="宋体" w:eastAsia="宋体" w:cs="宋体"/>
          <w:b w:val="0"/>
          <w:bCs w:val="0"/>
          <w:color w:val="000000"/>
          <w:sz w:val="24"/>
          <w:szCs w:val="24"/>
          <w:lang w:val="en-US" w:eastAsia="zh-CN"/>
        </w:rPr>
        <w:t>现有污水运营公司的管理及</w:t>
      </w:r>
      <w:r>
        <w:rPr>
          <w:rFonts w:hint="eastAsia" w:hAnsi="宋体" w:eastAsia="宋体" w:cs="宋体"/>
          <w:b w:val="0"/>
          <w:bCs w:val="0"/>
          <w:color w:val="000000"/>
          <w:sz w:val="24"/>
          <w:szCs w:val="24"/>
          <w:lang w:val="en-US"/>
        </w:rPr>
        <w:t>采购人的工作要求</w:t>
      </w:r>
      <w:r>
        <w:rPr>
          <w:rFonts w:hint="eastAsia" w:hAnsi="宋体" w:eastAsia="宋体" w:cs="宋体"/>
          <w:b w:val="0"/>
          <w:bCs w:val="0"/>
          <w:color w:val="000000"/>
          <w:sz w:val="24"/>
          <w:szCs w:val="24"/>
          <w:lang w:val="en-US" w:eastAsia="zh-CN"/>
        </w:rPr>
        <w:t>对污水处理站进行统一运作</w:t>
      </w:r>
      <w:r>
        <w:rPr>
          <w:rFonts w:hint="eastAsia" w:hAnsi="宋体" w:eastAsia="宋体" w:cs="宋体"/>
          <w:b w:val="0"/>
          <w:bCs w:val="0"/>
          <w:color w:val="000000"/>
          <w:sz w:val="24"/>
          <w:szCs w:val="24"/>
          <w:lang w:val="en-US"/>
        </w:rPr>
        <w:t>，积极响应采购人的疫情防控措施，接受采购人的质量监督和检查。</w:t>
      </w:r>
    </w:p>
    <w:p>
      <w:pPr>
        <w:pStyle w:val="2"/>
        <w:kinsoku w:val="0"/>
        <w:overflowPunct w:val="0"/>
        <w:spacing w:line="360" w:lineRule="auto"/>
        <w:ind w:firstLine="480" w:firstLineChars="200"/>
        <w:jc w:val="both"/>
        <w:rPr>
          <w:rFonts w:hint="eastAsia" w:hAnsi="宋体" w:eastAsia="宋体" w:cs="宋体"/>
          <w:b w:val="0"/>
          <w:bCs w:val="0"/>
          <w:color w:val="000000"/>
          <w:sz w:val="24"/>
          <w:szCs w:val="24"/>
          <w:lang w:val="en-US"/>
        </w:rPr>
      </w:pPr>
      <w:r>
        <w:rPr>
          <w:rFonts w:hint="eastAsia" w:hAnsi="宋体" w:eastAsia="宋体" w:cs="宋体"/>
          <w:b w:val="0"/>
          <w:bCs w:val="0"/>
          <w:color w:val="000000"/>
          <w:sz w:val="24"/>
          <w:szCs w:val="24"/>
          <w:lang w:val="en-US"/>
        </w:rPr>
        <w:t>18.提供24小时响应服务。如非正常上班时间遇临时性或突发性的工作，应在接到采购人通知1小时内到达现场处理，到场后2小时内处理完毕。如无法处理完毕的，应向采购人及时说明原因。</w:t>
      </w:r>
    </w:p>
    <w:p>
      <w:pPr>
        <w:pStyle w:val="2"/>
        <w:kinsoku w:val="0"/>
        <w:overflowPunct w:val="0"/>
        <w:spacing w:line="360" w:lineRule="auto"/>
        <w:ind w:firstLine="480" w:firstLineChars="200"/>
        <w:jc w:val="both"/>
        <w:rPr>
          <w:rFonts w:hint="eastAsia" w:hAnsi="宋体" w:eastAsia="宋体" w:cs="宋体"/>
          <w:b w:val="0"/>
          <w:bCs w:val="0"/>
          <w:color w:val="000000"/>
          <w:sz w:val="24"/>
          <w:szCs w:val="24"/>
          <w:lang w:val="en-US"/>
        </w:rPr>
      </w:pPr>
      <w:r>
        <w:rPr>
          <w:rFonts w:hint="eastAsia" w:hAnsi="宋体" w:eastAsia="宋体" w:cs="宋体"/>
          <w:b w:val="0"/>
          <w:bCs w:val="0"/>
          <w:color w:val="000000"/>
          <w:sz w:val="24"/>
          <w:szCs w:val="24"/>
          <w:lang w:val="en-US"/>
        </w:rPr>
        <w:t>19.因成交供应商责任造成工作人员、采购人及第三方的设备设施、财产损坏或人身损害的，由成交供应商负责对损坏的设备恢复原状并承担所造成的所有责任及赔偿。</w:t>
      </w:r>
    </w:p>
    <w:p>
      <w:pPr>
        <w:pStyle w:val="2"/>
        <w:kinsoku w:val="0"/>
        <w:overflowPunct w:val="0"/>
        <w:spacing w:line="360" w:lineRule="auto"/>
        <w:ind w:firstLine="480" w:firstLineChars="200"/>
        <w:jc w:val="both"/>
        <w:rPr>
          <w:rFonts w:hint="eastAsia" w:hAnsi="宋体" w:eastAsia="宋体" w:cs="宋体"/>
          <w:b w:val="0"/>
          <w:bCs w:val="0"/>
          <w:color w:val="000000"/>
          <w:sz w:val="24"/>
          <w:szCs w:val="24"/>
          <w:lang w:val="en-US"/>
        </w:rPr>
      </w:pPr>
      <w:r>
        <w:rPr>
          <w:rFonts w:hint="eastAsia" w:hAnsi="宋体" w:eastAsia="宋体" w:cs="宋体"/>
          <w:b w:val="0"/>
          <w:bCs w:val="0"/>
          <w:color w:val="000000"/>
          <w:sz w:val="24"/>
          <w:szCs w:val="24"/>
          <w:lang w:val="en-US"/>
        </w:rPr>
        <w:t>20.成交供应商员工发生的投诉、纠纷和法律事件，由成交供应商承担。若因成交供应商管理不善、控制不力而发生罢工等重大事件且造成严重影响的，扣罚该月总服务费的10～30%，及采购人有权根据具体情况单方终止合同。</w:t>
      </w:r>
    </w:p>
    <w:p>
      <w:pPr>
        <w:pStyle w:val="2"/>
        <w:kinsoku w:val="0"/>
        <w:overflowPunct w:val="0"/>
        <w:spacing w:line="360" w:lineRule="auto"/>
        <w:ind w:firstLine="480" w:firstLineChars="200"/>
        <w:jc w:val="both"/>
        <w:rPr>
          <w:rFonts w:hint="eastAsia" w:hAnsi="宋体" w:eastAsia="宋体" w:cs="宋体"/>
          <w:b w:val="0"/>
          <w:bCs w:val="0"/>
          <w:color w:val="000000"/>
          <w:sz w:val="24"/>
          <w:szCs w:val="24"/>
          <w:lang w:val="en-US"/>
        </w:rPr>
      </w:pPr>
      <w:r>
        <w:rPr>
          <w:rFonts w:hint="eastAsia" w:hAnsi="宋体" w:eastAsia="宋体" w:cs="宋体"/>
          <w:b w:val="0"/>
          <w:bCs w:val="0"/>
          <w:color w:val="000000"/>
          <w:sz w:val="24"/>
          <w:szCs w:val="24"/>
          <w:lang w:val="en-US"/>
        </w:rPr>
        <w:t>21.服务到期时，成交供应商应将运营管理的所有原始资料交给采购人保管，不得私自损毁。</w:t>
      </w:r>
    </w:p>
    <w:p>
      <w:pPr>
        <w:spacing w:line="360" w:lineRule="auto"/>
        <w:rPr>
          <w:rFonts w:asciiTheme="minorEastAsia" w:hAnsiTheme="minorEastAsia"/>
          <w:b/>
          <w:szCs w:val="24"/>
        </w:rPr>
      </w:pPr>
    </w:p>
    <w:p>
      <w:pPr>
        <w:pStyle w:val="7"/>
        <w:tabs>
          <w:tab w:val="left" w:pos="567"/>
        </w:tabs>
        <w:adjustRightInd w:val="0"/>
        <w:snapToGrid w:val="0"/>
        <w:spacing w:line="360" w:lineRule="auto"/>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五、报价要求</w:t>
      </w:r>
    </w:p>
    <w:p>
      <w:pPr>
        <w:pStyle w:val="19"/>
        <w:spacing w:line="360" w:lineRule="auto"/>
        <w:ind w:firstLine="480"/>
        <w:rPr>
          <w:rFonts w:hint="eastAsia" w:ascii="Times New Roman" w:hAnsi="宋体" w:eastAsia="宋体" w:cs="宋体"/>
          <w:b w:val="0"/>
          <w:bCs w:val="0"/>
          <w:color w:val="000000"/>
          <w:kern w:val="2"/>
          <w:sz w:val="24"/>
          <w:szCs w:val="24"/>
          <w:lang w:val="en-US" w:eastAsia="zh-CN" w:bidi="ar-SA"/>
        </w:rPr>
      </w:pPr>
      <w:r>
        <w:rPr>
          <w:rFonts w:hint="eastAsia" w:ascii="Times New Roman" w:hAnsi="宋体" w:eastAsia="宋体" w:cs="宋体"/>
          <w:b w:val="0"/>
          <w:bCs w:val="0"/>
          <w:color w:val="000000"/>
          <w:kern w:val="2"/>
          <w:sz w:val="24"/>
          <w:szCs w:val="24"/>
          <w:lang w:val="en-US" w:eastAsia="zh-CN" w:bidi="ar-SA"/>
        </w:rPr>
        <w:t>报价为含税费报价，该报价包括：污水处理站排放水质监测试剂试纸费用；派驻人员工资、福利、服装、通信工具、交通工具、 社保、医疗、待业保障、工伤保险、各节假日和特殊工作任务加班费用、劳保费、应急演练费；完成该项目所需工具、设备、管理费、税费；不可预见费等费用。</w:t>
      </w:r>
    </w:p>
    <w:p>
      <w:pPr>
        <w:spacing w:line="360" w:lineRule="auto"/>
        <w:rPr>
          <w:rFonts w:asciiTheme="minorEastAsia" w:hAnsiTheme="minorEastAsia"/>
          <w:b/>
          <w:szCs w:val="24"/>
        </w:rPr>
      </w:pPr>
    </w:p>
    <w:p>
      <w:pPr>
        <w:pStyle w:val="7"/>
        <w:tabs>
          <w:tab w:val="left" w:pos="567"/>
        </w:tabs>
        <w:adjustRightInd w:val="0"/>
        <w:snapToGrid w:val="0"/>
        <w:spacing w:line="360" w:lineRule="auto"/>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六、服务质量监管</w:t>
      </w:r>
    </w:p>
    <w:p>
      <w:pPr>
        <w:spacing w:line="360" w:lineRule="auto"/>
        <w:ind w:firstLine="240" w:firstLineChars="100"/>
        <w:rPr>
          <w:rFonts w:hint="eastAsia" w:ascii="Times New Roman" w:hAnsi="宋体" w:eastAsia="宋体" w:cs="宋体"/>
          <w:b w:val="0"/>
          <w:bCs w:val="0"/>
          <w:color w:val="000000"/>
          <w:kern w:val="2"/>
          <w:sz w:val="24"/>
          <w:szCs w:val="24"/>
          <w:lang w:val="en-US" w:eastAsia="zh-CN" w:bidi="ar-SA"/>
        </w:rPr>
      </w:pPr>
      <w:r>
        <w:rPr>
          <w:rFonts w:hint="eastAsia" w:ascii="Times New Roman" w:hAnsi="宋体" w:eastAsia="宋体" w:cs="宋体"/>
          <w:b w:val="0"/>
          <w:bCs w:val="0"/>
          <w:color w:val="000000"/>
          <w:kern w:val="2"/>
          <w:sz w:val="24"/>
          <w:szCs w:val="24"/>
          <w:lang w:val="en-US" w:eastAsia="zh-CN" w:bidi="ar-SA"/>
        </w:rPr>
        <w:t>★1、由采购人每月对成交供应商的服务质量进行监督考核（详见附表一《污水处理站运营管理服务质量考评表》），考核结果与当月的服务费挂钩，成交供应商应积极配合采购人的监督和考评，不得以任何理由拒绝或阻挠采购人的考核。</w:t>
      </w:r>
    </w:p>
    <w:p>
      <w:pPr>
        <w:spacing w:line="360" w:lineRule="auto"/>
        <w:ind w:firstLine="240" w:firstLineChars="100"/>
        <w:rPr>
          <w:rFonts w:hint="eastAsia" w:ascii="Times New Roman" w:hAnsi="宋体" w:eastAsia="宋体" w:cs="宋体"/>
          <w:b w:val="0"/>
          <w:bCs w:val="0"/>
          <w:color w:val="000000"/>
          <w:kern w:val="2"/>
          <w:sz w:val="24"/>
          <w:szCs w:val="24"/>
          <w:lang w:val="en-US" w:eastAsia="zh-CN" w:bidi="ar-SA"/>
        </w:rPr>
      </w:pPr>
      <w:r>
        <w:rPr>
          <w:rFonts w:hint="eastAsia" w:ascii="Times New Roman" w:hAnsi="宋体" w:eastAsia="宋体" w:cs="宋体"/>
          <w:b w:val="0"/>
          <w:bCs w:val="0"/>
          <w:color w:val="000000"/>
          <w:kern w:val="2"/>
          <w:sz w:val="24"/>
          <w:szCs w:val="24"/>
          <w:lang w:val="en-US" w:eastAsia="zh-CN" w:bidi="ar-SA"/>
        </w:rPr>
        <w:t>★2、考评要求：考评总分为100分，考评分按实际考评得分计算。考核结果≥90分的为合格；考核结果为80-89分的，成交供应商应对存在的问题限时整改，同一问题连续出现两次的，采购人有权对成交供应商按500元/分进行扣罚；考核结果为70-79分的，采购人有权对成交供应商按1000元/分进行扣罚，如果成交供应商连续2个月服务质量低于75分或因成交供应商的责任发生安全事件且造成严重后果的，采购人有权拒绝支付服务费且单方提前终止合同，并继续追究成交供应商相关责任。</w:t>
      </w:r>
    </w:p>
    <w:p>
      <w:pPr>
        <w:spacing w:line="360" w:lineRule="auto"/>
        <w:ind w:firstLine="240" w:firstLineChars="100"/>
        <w:rPr>
          <w:rFonts w:hint="eastAsia" w:ascii="Times New Roman" w:hAnsi="宋体" w:eastAsia="宋体" w:cs="宋体"/>
          <w:b w:val="0"/>
          <w:bCs w:val="0"/>
          <w:color w:val="000000"/>
          <w:kern w:val="2"/>
          <w:sz w:val="24"/>
          <w:szCs w:val="24"/>
          <w:lang w:val="en-US" w:eastAsia="zh-CN" w:bidi="ar-SA"/>
        </w:rPr>
      </w:pPr>
      <w:r>
        <w:rPr>
          <w:rFonts w:hint="eastAsia" w:ascii="Times New Roman" w:hAnsi="宋体" w:eastAsia="宋体" w:cs="宋体"/>
          <w:b w:val="0"/>
          <w:bCs w:val="0"/>
          <w:color w:val="000000"/>
          <w:kern w:val="2"/>
          <w:sz w:val="24"/>
          <w:szCs w:val="24"/>
          <w:lang w:val="en-US" w:eastAsia="zh-CN" w:bidi="ar-SA"/>
        </w:rPr>
        <w:t>★3、如果成交供应商未按要求落实运营管理服务工作，存在弄虚作假行为的，采购人有权进行相应的扣罚：第一次发现扣罚500元，第二次发现2倍扣罚，第三次发现3倍扣罚，以此类推。</w:t>
      </w:r>
    </w:p>
    <w:p>
      <w:pPr>
        <w:spacing w:line="360" w:lineRule="auto"/>
        <w:ind w:firstLine="480" w:firstLineChars="200"/>
        <w:rPr>
          <w:rFonts w:hint="eastAsia" w:ascii="Times New Roman" w:hAnsi="宋体" w:eastAsia="宋体" w:cs="宋体"/>
          <w:b w:val="0"/>
          <w:bCs w:val="0"/>
          <w:color w:val="000000"/>
          <w:kern w:val="2"/>
          <w:sz w:val="24"/>
          <w:szCs w:val="24"/>
          <w:lang w:val="en-US" w:eastAsia="zh-CN" w:bidi="ar-SA"/>
        </w:rPr>
      </w:pPr>
      <w:r>
        <w:rPr>
          <w:rFonts w:hint="eastAsia" w:ascii="Times New Roman" w:hAnsi="宋体" w:eastAsia="宋体" w:cs="宋体"/>
          <w:b w:val="0"/>
          <w:bCs w:val="0"/>
          <w:color w:val="000000"/>
          <w:kern w:val="2"/>
          <w:sz w:val="24"/>
          <w:szCs w:val="24"/>
          <w:lang w:val="en-US" w:eastAsia="zh-CN" w:bidi="ar-SA"/>
        </w:rPr>
        <w:t>4、如因成交供应商原因所导致的一切安全事故、责任和后果由成交供应商自行承担，采购人保留追究成交供应商责任的权利。</w:t>
      </w:r>
    </w:p>
    <w:p>
      <w:pPr>
        <w:pStyle w:val="2"/>
        <w:spacing w:line="360" w:lineRule="auto"/>
        <w:ind w:firstLine="480" w:firstLineChars="200"/>
        <w:jc w:val="both"/>
        <w:rPr>
          <w:rFonts w:hAnsi="宋体" w:cs="宋体"/>
          <w:bCs w:val="0"/>
          <w:color w:val="000000"/>
          <w:sz w:val="24"/>
          <w:szCs w:val="24"/>
          <w:highlight w:val="none"/>
          <w:lang w:val="en-US"/>
        </w:rPr>
      </w:pPr>
      <w:r>
        <w:rPr>
          <w:rFonts w:hint="eastAsia" w:hAnsi="宋体" w:cs="宋体"/>
          <w:bCs w:val="0"/>
          <w:color w:val="000000"/>
          <w:sz w:val="24"/>
          <w:szCs w:val="24"/>
          <w:highlight w:val="none"/>
          <w:lang w:val="en-US"/>
        </w:rPr>
        <w:t>附表一           污水处理站运营管理服务质量考评表</w:t>
      </w:r>
    </w:p>
    <w:tbl>
      <w:tblPr>
        <w:tblStyle w:val="14"/>
        <w:tblW w:w="8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750"/>
        <w:gridCol w:w="3341"/>
        <w:gridCol w:w="695"/>
        <w:gridCol w:w="2687"/>
        <w:gridCol w:w="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604" w:type="dxa"/>
            <w:shd w:val="clear" w:color="auto" w:fill="auto"/>
            <w:vAlign w:val="center"/>
          </w:tcPr>
          <w:p>
            <w:pPr>
              <w:spacing w:line="260" w:lineRule="exact"/>
              <w:jc w:val="center"/>
              <w:rPr>
                <w:rFonts w:hAnsi="宋体" w:cs="宋体"/>
                <w:sz w:val="24"/>
                <w:szCs w:val="24"/>
              </w:rPr>
            </w:pPr>
            <w:r>
              <w:rPr>
                <w:rFonts w:hint="eastAsia" w:hAnsi="宋体" w:cs="宋体"/>
                <w:b/>
                <w:bCs/>
                <w:sz w:val="24"/>
                <w:szCs w:val="24"/>
              </w:rPr>
              <w:t>序号</w:t>
            </w:r>
          </w:p>
        </w:tc>
        <w:tc>
          <w:tcPr>
            <w:tcW w:w="750" w:type="dxa"/>
            <w:shd w:val="clear" w:color="auto" w:fill="auto"/>
            <w:vAlign w:val="center"/>
          </w:tcPr>
          <w:p>
            <w:pPr>
              <w:spacing w:line="260" w:lineRule="exact"/>
              <w:jc w:val="center"/>
              <w:rPr>
                <w:rFonts w:hAnsi="宋体" w:cs="宋体"/>
                <w:b/>
                <w:bCs/>
                <w:sz w:val="24"/>
                <w:szCs w:val="24"/>
              </w:rPr>
            </w:pPr>
            <w:r>
              <w:rPr>
                <w:rFonts w:hint="eastAsia" w:hAnsi="宋体" w:cs="宋体"/>
                <w:b/>
                <w:bCs/>
                <w:sz w:val="24"/>
                <w:szCs w:val="24"/>
              </w:rPr>
              <w:t>考核</w:t>
            </w:r>
          </w:p>
          <w:p>
            <w:pPr>
              <w:spacing w:line="260" w:lineRule="exact"/>
              <w:jc w:val="center"/>
              <w:rPr>
                <w:rFonts w:hAnsi="宋体" w:cs="宋体"/>
                <w:b/>
                <w:bCs/>
                <w:sz w:val="24"/>
                <w:szCs w:val="24"/>
              </w:rPr>
            </w:pPr>
            <w:r>
              <w:rPr>
                <w:rFonts w:hint="eastAsia" w:hAnsi="宋体" w:cs="宋体"/>
                <w:b/>
                <w:bCs/>
                <w:sz w:val="24"/>
                <w:szCs w:val="24"/>
              </w:rPr>
              <w:t>项目</w:t>
            </w:r>
          </w:p>
        </w:tc>
        <w:tc>
          <w:tcPr>
            <w:tcW w:w="3341" w:type="dxa"/>
            <w:shd w:val="clear" w:color="auto" w:fill="auto"/>
            <w:vAlign w:val="center"/>
          </w:tcPr>
          <w:p>
            <w:pPr>
              <w:spacing w:line="260" w:lineRule="exact"/>
              <w:jc w:val="center"/>
              <w:rPr>
                <w:rFonts w:hAnsi="宋体" w:cs="宋体"/>
                <w:b/>
                <w:bCs/>
                <w:color w:val="000000"/>
                <w:sz w:val="24"/>
                <w:szCs w:val="24"/>
              </w:rPr>
            </w:pPr>
            <w:r>
              <w:rPr>
                <w:rFonts w:hint="eastAsia" w:hAnsi="宋体" w:cs="宋体"/>
                <w:b/>
                <w:bCs/>
                <w:color w:val="000000"/>
                <w:sz w:val="24"/>
                <w:szCs w:val="24"/>
              </w:rPr>
              <w:t>考核内容</w:t>
            </w:r>
          </w:p>
        </w:tc>
        <w:tc>
          <w:tcPr>
            <w:tcW w:w="695" w:type="dxa"/>
            <w:shd w:val="clear" w:color="auto" w:fill="auto"/>
            <w:noWrap/>
            <w:vAlign w:val="center"/>
          </w:tcPr>
          <w:p>
            <w:pPr>
              <w:spacing w:line="260" w:lineRule="exact"/>
              <w:jc w:val="center"/>
              <w:rPr>
                <w:rFonts w:hAnsi="宋体" w:cs="宋体"/>
                <w:b/>
                <w:bCs/>
                <w:color w:val="000000"/>
                <w:sz w:val="24"/>
                <w:szCs w:val="24"/>
              </w:rPr>
            </w:pPr>
            <w:r>
              <w:rPr>
                <w:rFonts w:hint="eastAsia" w:hAnsi="宋体" w:cs="宋体"/>
                <w:b/>
                <w:bCs/>
                <w:color w:val="000000"/>
                <w:sz w:val="24"/>
                <w:szCs w:val="24"/>
              </w:rPr>
              <w:t>分值</w:t>
            </w:r>
          </w:p>
        </w:tc>
        <w:tc>
          <w:tcPr>
            <w:tcW w:w="2687" w:type="dxa"/>
            <w:shd w:val="clear" w:color="auto" w:fill="auto"/>
            <w:vAlign w:val="center"/>
          </w:tcPr>
          <w:p>
            <w:pPr>
              <w:spacing w:line="260" w:lineRule="exact"/>
              <w:jc w:val="center"/>
              <w:rPr>
                <w:rFonts w:hAnsi="宋体" w:cs="宋体"/>
                <w:b/>
                <w:bCs/>
                <w:sz w:val="24"/>
                <w:szCs w:val="24"/>
              </w:rPr>
            </w:pPr>
            <w:r>
              <w:rPr>
                <w:rFonts w:hint="eastAsia" w:hAnsi="宋体" w:cs="宋体"/>
                <w:b/>
                <w:bCs/>
                <w:sz w:val="24"/>
                <w:szCs w:val="24"/>
              </w:rPr>
              <w:t>检查方法和评分标准</w:t>
            </w:r>
          </w:p>
        </w:tc>
        <w:tc>
          <w:tcPr>
            <w:tcW w:w="810" w:type="dxa"/>
            <w:shd w:val="clear" w:color="auto" w:fill="auto"/>
            <w:vAlign w:val="center"/>
          </w:tcPr>
          <w:p>
            <w:pPr>
              <w:spacing w:line="260" w:lineRule="exact"/>
              <w:jc w:val="center"/>
              <w:rPr>
                <w:rFonts w:hAnsi="宋体" w:cs="宋体"/>
                <w:b/>
                <w:bCs/>
                <w:sz w:val="24"/>
                <w:szCs w:val="24"/>
              </w:rPr>
            </w:pPr>
            <w:r>
              <w:rPr>
                <w:rFonts w:hint="eastAsia" w:hAnsi="宋体" w:cs="宋体"/>
                <w:b/>
                <w:bCs/>
                <w:sz w:val="24"/>
                <w:szCs w:val="24"/>
              </w:rPr>
              <w:t>考评结果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2" w:hRule="atLeast"/>
          <w:jc w:val="center"/>
        </w:trPr>
        <w:tc>
          <w:tcPr>
            <w:tcW w:w="604" w:type="dxa"/>
            <w:shd w:val="clear" w:color="auto" w:fill="auto"/>
            <w:vAlign w:val="center"/>
          </w:tcPr>
          <w:p>
            <w:pPr>
              <w:tabs>
                <w:tab w:val="left" w:pos="7725"/>
              </w:tabs>
              <w:autoSpaceDE/>
              <w:autoSpaceDN/>
              <w:adjustRightInd/>
              <w:snapToGrid w:val="0"/>
              <w:spacing w:line="240" w:lineRule="exact"/>
              <w:jc w:val="center"/>
              <w:rPr>
                <w:rFonts w:hAnsi="宋体" w:cs="宋体"/>
                <w:sz w:val="24"/>
                <w:szCs w:val="24"/>
              </w:rPr>
            </w:pPr>
            <w:r>
              <w:rPr>
                <w:rFonts w:hint="eastAsia" w:hAnsi="宋体" w:cs="宋体"/>
                <w:sz w:val="24"/>
                <w:szCs w:val="24"/>
              </w:rPr>
              <w:t>一</w:t>
            </w:r>
          </w:p>
        </w:tc>
        <w:tc>
          <w:tcPr>
            <w:tcW w:w="750" w:type="dxa"/>
            <w:shd w:val="clear" w:color="auto" w:fill="auto"/>
            <w:vAlign w:val="center"/>
          </w:tcPr>
          <w:p>
            <w:pPr>
              <w:tabs>
                <w:tab w:val="left" w:pos="7725"/>
              </w:tabs>
              <w:autoSpaceDE/>
              <w:autoSpaceDN/>
              <w:adjustRightInd/>
              <w:snapToGrid w:val="0"/>
              <w:spacing w:line="240" w:lineRule="exact"/>
              <w:jc w:val="center"/>
              <w:rPr>
                <w:rFonts w:hAnsi="宋体" w:cs="宋体"/>
                <w:bCs/>
                <w:sz w:val="24"/>
                <w:szCs w:val="24"/>
              </w:rPr>
            </w:pPr>
            <w:r>
              <w:rPr>
                <w:rFonts w:hint="eastAsia" w:hAnsi="宋体" w:cs="宋体"/>
                <w:bCs/>
                <w:sz w:val="24"/>
                <w:szCs w:val="24"/>
              </w:rPr>
              <w:t>岗位职责</w:t>
            </w:r>
          </w:p>
        </w:tc>
        <w:tc>
          <w:tcPr>
            <w:tcW w:w="3341" w:type="dxa"/>
            <w:shd w:val="clear" w:color="auto" w:fill="auto"/>
            <w:vAlign w:val="center"/>
          </w:tcPr>
          <w:p>
            <w:pPr>
              <w:tabs>
                <w:tab w:val="left" w:pos="7725"/>
              </w:tabs>
              <w:autoSpaceDE/>
              <w:autoSpaceDN/>
              <w:adjustRightInd/>
              <w:snapToGrid w:val="0"/>
              <w:spacing w:line="240" w:lineRule="exact"/>
              <w:rPr>
                <w:rFonts w:hAnsi="宋体" w:cs="宋体"/>
                <w:bCs/>
                <w:sz w:val="24"/>
                <w:szCs w:val="24"/>
              </w:rPr>
            </w:pPr>
            <w:r>
              <w:rPr>
                <w:rFonts w:hint="eastAsia" w:hAnsi="宋体" w:cs="宋体"/>
                <w:sz w:val="24"/>
                <w:szCs w:val="24"/>
              </w:rPr>
              <w:t>工作人员每天根据</w:t>
            </w:r>
            <w:r>
              <w:rPr>
                <w:rFonts w:hint="eastAsia" w:hAnsi="宋体" w:cs="宋体"/>
                <w:sz w:val="24"/>
                <w:szCs w:val="24"/>
                <w:lang w:val="en-GB"/>
              </w:rPr>
              <w:t>日常运营服务管理</w:t>
            </w:r>
            <w:r>
              <w:rPr>
                <w:rFonts w:hint="eastAsia" w:hAnsi="宋体" w:cs="宋体"/>
                <w:sz w:val="24"/>
                <w:szCs w:val="24"/>
              </w:rPr>
              <w:t>内容及</w:t>
            </w:r>
            <w:r>
              <w:rPr>
                <w:rFonts w:hint="eastAsia" w:hAnsi="宋体" w:cs="宋体"/>
                <w:sz w:val="24"/>
                <w:szCs w:val="24"/>
                <w:lang w:val="en-GB"/>
              </w:rPr>
              <w:t>要求</w:t>
            </w:r>
            <w:r>
              <w:rPr>
                <w:rFonts w:hint="eastAsia" w:hAnsi="宋体" w:cs="宋体"/>
                <w:sz w:val="24"/>
                <w:szCs w:val="24"/>
              </w:rPr>
              <w:t>能按质按量完成本岗位职责。包括对人工格栅、污水提升泵、液位控制器、控制电柜、二氧化氯发生器的运营管理、水样监测及其他工作内容。保证出水排放符合国家标准和环保要求，污水处理合格率 100%。</w:t>
            </w:r>
          </w:p>
        </w:tc>
        <w:tc>
          <w:tcPr>
            <w:tcW w:w="695" w:type="dxa"/>
            <w:shd w:val="clear" w:color="auto" w:fill="auto"/>
            <w:noWrap/>
            <w:vAlign w:val="center"/>
          </w:tcPr>
          <w:p>
            <w:pPr>
              <w:tabs>
                <w:tab w:val="left" w:pos="7725"/>
              </w:tabs>
              <w:autoSpaceDE/>
              <w:autoSpaceDN/>
              <w:adjustRightInd/>
              <w:snapToGrid w:val="0"/>
              <w:spacing w:line="240" w:lineRule="exact"/>
              <w:jc w:val="center"/>
              <w:rPr>
                <w:rFonts w:hAnsi="宋体" w:cs="宋体"/>
                <w:bCs/>
                <w:sz w:val="24"/>
                <w:szCs w:val="24"/>
              </w:rPr>
            </w:pPr>
            <w:r>
              <w:rPr>
                <w:rFonts w:hint="eastAsia" w:hAnsi="宋体" w:cs="宋体"/>
                <w:bCs/>
                <w:sz w:val="24"/>
                <w:szCs w:val="24"/>
              </w:rPr>
              <w:t>40</w:t>
            </w:r>
          </w:p>
        </w:tc>
        <w:tc>
          <w:tcPr>
            <w:tcW w:w="2687" w:type="dxa"/>
            <w:shd w:val="clear" w:color="auto" w:fill="auto"/>
            <w:vAlign w:val="center"/>
          </w:tcPr>
          <w:p>
            <w:pPr>
              <w:tabs>
                <w:tab w:val="left" w:pos="7725"/>
              </w:tabs>
              <w:autoSpaceDE/>
              <w:autoSpaceDN/>
              <w:adjustRightInd/>
              <w:snapToGrid w:val="0"/>
              <w:spacing w:line="240" w:lineRule="exact"/>
              <w:rPr>
                <w:rFonts w:hAnsi="宋体" w:cs="宋体"/>
                <w:bCs/>
                <w:sz w:val="24"/>
                <w:szCs w:val="24"/>
              </w:rPr>
            </w:pPr>
            <w:r>
              <w:rPr>
                <w:rFonts w:hint="eastAsia" w:hAnsi="宋体" w:cs="宋体"/>
                <w:sz w:val="24"/>
                <w:szCs w:val="24"/>
              </w:rPr>
              <w:t>一项工作不符合要求的，扣1分/次，如因运营管理不到位导致污水排放不合格的，扣20分，扣完该项分为止。</w:t>
            </w:r>
          </w:p>
        </w:tc>
        <w:tc>
          <w:tcPr>
            <w:tcW w:w="810" w:type="dxa"/>
            <w:shd w:val="clear" w:color="auto" w:fill="auto"/>
            <w:vAlign w:val="center"/>
          </w:tcPr>
          <w:p>
            <w:pPr>
              <w:tabs>
                <w:tab w:val="left" w:pos="7725"/>
              </w:tabs>
              <w:autoSpaceDE/>
              <w:autoSpaceDN/>
              <w:adjustRightInd/>
              <w:snapToGrid w:val="0"/>
              <w:spacing w:line="240" w:lineRule="exact"/>
              <w:jc w:val="center"/>
              <w:rPr>
                <w:rFonts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604" w:type="dxa"/>
            <w:vMerge w:val="restart"/>
            <w:shd w:val="clear" w:color="auto" w:fill="auto"/>
            <w:vAlign w:val="center"/>
          </w:tcPr>
          <w:p>
            <w:pPr>
              <w:spacing w:line="260" w:lineRule="exact"/>
              <w:jc w:val="center"/>
              <w:rPr>
                <w:rFonts w:hAnsi="宋体" w:cs="宋体"/>
                <w:sz w:val="24"/>
                <w:szCs w:val="24"/>
              </w:rPr>
            </w:pPr>
            <w:r>
              <w:rPr>
                <w:rFonts w:hint="eastAsia" w:hAnsi="宋体" w:cs="宋体"/>
                <w:sz w:val="24"/>
                <w:szCs w:val="24"/>
              </w:rPr>
              <w:t>二</w:t>
            </w:r>
          </w:p>
        </w:tc>
        <w:tc>
          <w:tcPr>
            <w:tcW w:w="750" w:type="dxa"/>
            <w:vMerge w:val="restart"/>
            <w:shd w:val="clear" w:color="auto" w:fill="auto"/>
            <w:noWrap/>
            <w:vAlign w:val="center"/>
          </w:tcPr>
          <w:p>
            <w:pPr>
              <w:tabs>
                <w:tab w:val="left" w:pos="7725"/>
              </w:tabs>
              <w:autoSpaceDE/>
              <w:autoSpaceDN/>
              <w:adjustRightInd/>
              <w:snapToGrid w:val="0"/>
              <w:spacing w:line="240" w:lineRule="exact"/>
              <w:jc w:val="both"/>
              <w:rPr>
                <w:rFonts w:hint="eastAsia" w:hAnsi="宋体" w:cs="宋体"/>
                <w:bCs/>
                <w:sz w:val="24"/>
                <w:szCs w:val="24"/>
              </w:rPr>
            </w:pPr>
            <w:r>
              <w:rPr>
                <w:rFonts w:hint="eastAsia" w:hAnsi="宋体" w:cs="宋体"/>
                <w:bCs/>
                <w:sz w:val="24"/>
                <w:szCs w:val="24"/>
              </w:rPr>
              <w:t>人员</w:t>
            </w:r>
          </w:p>
          <w:p>
            <w:pPr>
              <w:tabs>
                <w:tab w:val="left" w:pos="7725"/>
              </w:tabs>
              <w:autoSpaceDE/>
              <w:autoSpaceDN/>
              <w:adjustRightInd/>
              <w:snapToGrid w:val="0"/>
              <w:spacing w:line="240" w:lineRule="exact"/>
              <w:jc w:val="both"/>
              <w:rPr>
                <w:rFonts w:hAnsi="宋体" w:cs="宋体"/>
                <w:sz w:val="24"/>
                <w:szCs w:val="24"/>
              </w:rPr>
            </w:pPr>
            <w:r>
              <w:rPr>
                <w:rFonts w:hint="eastAsia" w:hAnsi="宋体" w:cs="宋体"/>
                <w:bCs/>
                <w:sz w:val="24"/>
                <w:szCs w:val="24"/>
              </w:rPr>
              <w:t>在岗</w:t>
            </w:r>
          </w:p>
        </w:tc>
        <w:tc>
          <w:tcPr>
            <w:tcW w:w="3341" w:type="dxa"/>
            <w:shd w:val="clear" w:color="auto" w:fill="auto"/>
            <w:vAlign w:val="center"/>
          </w:tcPr>
          <w:p>
            <w:pPr>
              <w:autoSpaceDE/>
              <w:autoSpaceDN/>
              <w:adjustRightInd/>
              <w:spacing w:line="240" w:lineRule="exact"/>
              <w:rPr>
                <w:rFonts w:hAnsi="宋体" w:cs="宋体"/>
                <w:sz w:val="24"/>
                <w:szCs w:val="24"/>
              </w:rPr>
            </w:pPr>
            <w:r>
              <w:rPr>
                <w:rFonts w:hint="eastAsia" w:hAnsi="宋体" w:cs="宋体"/>
                <w:sz w:val="24"/>
                <w:szCs w:val="24"/>
              </w:rPr>
              <w:t>项目</w:t>
            </w:r>
            <w:r>
              <w:rPr>
                <w:rFonts w:hint="eastAsia" w:hAnsi="宋体" w:cs="宋体"/>
                <w:sz w:val="24"/>
                <w:szCs w:val="24"/>
                <w:lang w:val="en-US" w:eastAsia="zh-CN"/>
              </w:rPr>
              <w:t>工作人员</w:t>
            </w:r>
            <w:r>
              <w:rPr>
                <w:rFonts w:hint="eastAsia" w:hAnsi="宋体" w:cs="宋体"/>
                <w:sz w:val="24"/>
                <w:szCs w:val="24"/>
              </w:rPr>
              <w:t>要坚守工作岗位，在工作日请假休息或途中离开医院的，应向采购人主管部门报备并做好工作安排。</w:t>
            </w:r>
          </w:p>
        </w:tc>
        <w:tc>
          <w:tcPr>
            <w:tcW w:w="695" w:type="dxa"/>
            <w:shd w:val="clear" w:color="auto" w:fill="auto"/>
            <w:noWrap/>
            <w:vAlign w:val="center"/>
          </w:tcPr>
          <w:p>
            <w:pPr>
              <w:autoSpaceDE/>
              <w:autoSpaceDN/>
              <w:adjustRightInd/>
              <w:spacing w:line="240" w:lineRule="exact"/>
              <w:jc w:val="center"/>
              <w:rPr>
                <w:rFonts w:hAnsi="宋体" w:cs="宋体"/>
                <w:sz w:val="24"/>
                <w:szCs w:val="24"/>
              </w:rPr>
            </w:pPr>
            <w:r>
              <w:rPr>
                <w:rFonts w:hint="eastAsia" w:hAnsi="宋体" w:cs="宋体"/>
                <w:sz w:val="24"/>
                <w:szCs w:val="24"/>
              </w:rPr>
              <w:t>10</w:t>
            </w:r>
          </w:p>
        </w:tc>
        <w:tc>
          <w:tcPr>
            <w:tcW w:w="2687" w:type="dxa"/>
            <w:shd w:val="clear" w:color="auto" w:fill="auto"/>
            <w:vAlign w:val="center"/>
          </w:tcPr>
          <w:p>
            <w:pPr>
              <w:autoSpaceDE/>
              <w:autoSpaceDN/>
              <w:adjustRightInd/>
              <w:spacing w:line="240" w:lineRule="exact"/>
              <w:rPr>
                <w:rFonts w:hAnsi="宋体" w:cs="宋体"/>
                <w:sz w:val="24"/>
                <w:szCs w:val="24"/>
              </w:rPr>
            </w:pPr>
            <w:r>
              <w:rPr>
                <w:rFonts w:hint="eastAsia" w:hAnsi="宋体" w:cs="宋体"/>
                <w:sz w:val="24"/>
                <w:szCs w:val="24"/>
                <w:lang w:val="en-US" w:eastAsia="zh-CN"/>
              </w:rPr>
              <w:t>工作</w:t>
            </w:r>
            <w:r>
              <w:rPr>
                <w:rFonts w:hint="eastAsia" w:hAnsi="宋体" w:cs="宋体"/>
                <w:sz w:val="24"/>
                <w:szCs w:val="24"/>
              </w:rPr>
              <w:t>人员无故离岗或休息不向采购人主管部门报备的，一次扣5分；如因</w:t>
            </w:r>
            <w:r>
              <w:rPr>
                <w:rFonts w:hint="eastAsia" w:hAnsi="宋体" w:cs="宋体"/>
                <w:sz w:val="24"/>
                <w:szCs w:val="24"/>
                <w:lang w:val="en-US" w:eastAsia="zh-CN"/>
              </w:rPr>
              <w:t>工作</w:t>
            </w:r>
            <w:r>
              <w:rPr>
                <w:rFonts w:hint="eastAsia" w:hAnsi="宋体" w:cs="宋体"/>
                <w:sz w:val="24"/>
                <w:szCs w:val="24"/>
              </w:rPr>
              <w:t>人员休息而工作安排不到位导致不良后果的，扣减10分/次。</w:t>
            </w:r>
          </w:p>
        </w:tc>
        <w:tc>
          <w:tcPr>
            <w:tcW w:w="810" w:type="dxa"/>
            <w:shd w:val="clear" w:color="auto" w:fill="auto"/>
            <w:vAlign w:val="center"/>
          </w:tcPr>
          <w:p>
            <w:pPr>
              <w:autoSpaceDE/>
              <w:autoSpaceDN/>
              <w:adjustRightInd/>
              <w:spacing w:line="240" w:lineRule="exact"/>
              <w:rPr>
                <w:rFonts w:hAnsi="宋体" w:cs="宋体"/>
                <w:b/>
                <w:bCs/>
                <w:color w:val="FF0000"/>
                <w:sz w:val="24"/>
                <w:szCs w:val="24"/>
              </w:rPr>
            </w:pPr>
            <w:r>
              <w:rPr>
                <w:rFonts w:hint="eastAsia" w:hAnsi="宋体" w:cs="宋体"/>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604" w:type="dxa"/>
            <w:vMerge w:val="continue"/>
            <w:shd w:val="clear" w:color="auto" w:fill="auto"/>
            <w:vAlign w:val="center"/>
          </w:tcPr>
          <w:p>
            <w:pPr>
              <w:spacing w:line="260" w:lineRule="exact"/>
              <w:jc w:val="center"/>
              <w:rPr>
                <w:rFonts w:hAnsi="宋体" w:cs="宋体"/>
                <w:sz w:val="24"/>
                <w:szCs w:val="24"/>
              </w:rPr>
            </w:pPr>
          </w:p>
        </w:tc>
        <w:tc>
          <w:tcPr>
            <w:tcW w:w="750" w:type="dxa"/>
            <w:vMerge w:val="continue"/>
            <w:shd w:val="clear" w:color="auto" w:fill="auto"/>
            <w:noWrap/>
            <w:vAlign w:val="center"/>
          </w:tcPr>
          <w:p>
            <w:pPr>
              <w:tabs>
                <w:tab w:val="left" w:pos="7725"/>
              </w:tabs>
              <w:autoSpaceDE/>
              <w:autoSpaceDN/>
              <w:adjustRightInd/>
              <w:snapToGrid w:val="0"/>
              <w:spacing w:line="240" w:lineRule="exact"/>
              <w:jc w:val="center"/>
              <w:rPr>
                <w:rFonts w:hAnsi="宋体" w:cs="宋体"/>
                <w:sz w:val="24"/>
                <w:szCs w:val="24"/>
              </w:rPr>
            </w:pPr>
          </w:p>
        </w:tc>
        <w:tc>
          <w:tcPr>
            <w:tcW w:w="3341" w:type="dxa"/>
            <w:shd w:val="clear" w:color="auto" w:fill="auto"/>
            <w:vAlign w:val="center"/>
          </w:tcPr>
          <w:p>
            <w:pPr>
              <w:autoSpaceDE/>
              <w:autoSpaceDN/>
              <w:adjustRightInd/>
              <w:spacing w:line="240" w:lineRule="exact"/>
              <w:rPr>
                <w:rFonts w:hAnsi="宋体" w:cs="宋体"/>
                <w:sz w:val="24"/>
                <w:szCs w:val="24"/>
              </w:rPr>
            </w:pPr>
            <w:r>
              <w:rPr>
                <w:rFonts w:hint="eastAsia" w:hAnsi="宋体" w:cs="宋体"/>
                <w:sz w:val="24"/>
                <w:szCs w:val="24"/>
              </w:rPr>
              <w:t>岗位核查：</w:t>
            </w:r>
            <w:r>
              <w:rPr>
                <w:rFonts w:hint="eastAsia" w:asciiTheme="minorEastAsia" w:hAnsiTheme="minorEastAsia" w:eastAsiaTheme="minorEastAsia" w:cstheme="minorEastAsia"/>
                <w:sz w:val="24"/>
                <w:szCs w:val="24"/>
                <w:shd w:val="clear" w:color="auto" w:fill="FFFFFF"/>
              </w:rPr>
              <w:t>由采购人主管部门每月对中标人的岗位配置情况进行核查，不得存在缺岗或并岗。</w:t>
            </w:r>
          </w:p>
        </w:tc>
        <w:tc>
          <w:tcPr>
            <w:tcW w:w="695" w:type="dxa"/>
            <w:shd w:val="clear" w:color="auto" w:fill="auto"/>
            <w:noWrap/>
            <w:vAlign w:val="center"/>
          </w:tcPr>
          <w:p>
            <w:pPr>
              <w:autoSpaceDE/>
              <w:autoSpaceDN/>
              <w:adjustRightInd/>
              <w:spacing w:line="240" w:lineRule="exact"/>
              <w:jc w:val="center"/>
              <w:rPr>
                <w:rFonts w:hAnsi="宋体" w:cs="宋体"/>
                <w:sz w:val="24"/>
                <w:szCs w:val="24"/>
              </w:rPr>
            </w:pPr>
            <w:r>
              <w:rPr>
                <w:rFonts w:hint="eastAsia" w:hAnsi="宋体" w:cs="宋体"/>
                <w:sz w:val="24"/>
                <w:szCs w:val="24"/>
              </w:rPr>
              <w:t>10</w:t>
            </w:r>
          </w:p>
        </w:tc>
        <w:tc>
          <w:tcPr>
            <w:tcW w:w="2687" w:type="dxa"/>
            <w:shd w:val="clear" w:color="auto" w:fill="auto"/>
            <w:vAlign w:val="center"/>
          </w:tcPr>
          <w:p>
            <w:pPr>
              <w:autoSpaceDE/>
              <w:autoSpaceDN/>
              <w:adjustRightInd/>
              <w:spacing w:line="240" w:lineRule="exact"/>
              <w:rPr>
                <w:rFonts w:hAnsi="宋体" w:cs="宋体"/>
                <w:sz w:val="24"/>
                <w:szCs w:val="24"/>
              </w:rPr>
            </w:pPr>
            <w:r>
              <w:rPr>
                <w:rFonts w:hint="eastAsia" w:asciiTheme="minorEastAsia" w:hAnsiTheme="minorEastAsia" w:eastAsiaTheme="minorEastAsia" w:cstheme="minorEastAsia"/>
                <w:sz w:val="24"/>
                <w:szCs w:val="24"/>
                <w:shd w:val="clear" w:color="auto" w:fill="FFFFFF"/>
              </w:rPr>
              <w:t>发现缺岗或并岗的，每发现一次扣5分。</w:t>
            </w:r>
          </w:p>
        </w:tc>
        <w:tc>
          <w:tcPr>
            <w:tcW w:w="810" w:type="dxa"/>
            <w:shd w:val="clear" w:color="auto" w:fill="auto"/>
            <w:vAlign w:val="center"/>
          </w:tcPr>
          <w:p>
            <w:pPr>
              <w:autoSpaceDE/>
              <w:autoSpaceDN/>
              <w:adjustRightInd/>
              <w:spacing w:line="240" w:lineRule="exact"/>
              <w:rPr>
                <w:rFonts w:hAnsi="宋体" w:cs="宋体"/>
                <w:b/>
                <w:bCs/>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jc w:val="center"/>
        </w:trPr>
        <w:tc>
          <w:tcPr>
            <w:tcW w:w="604" w:type="dxa"/>
            <w:shd w:val="clear" w:color="auto" w:fill="auto"/>
            <w:vAlign w:val="center"/>
          </w:tcPr>
          <w:p>
            <w:pPr>
              <w:spacing w:line="260" w:lineRule="exact"/>
              <w:jc w:val="center"/>
              <w:rPr>
                <w:rFonts w:hAnsi="宋体" w:cs="宋体"/>
                <w:sz w:val="24"/>
                <w:szCs w:val="24"/>
              </w:rPr>
            </w:pPr>
            <w:r>
              <w:rPr>
                <w:rFonts w:hint="eastAsia" w:hAnsi="宋体" w:cs="宋体"/>
                <w:sz w:val="24"/>
                <w:szCs w:val="24"/>
              </w:rPr>
              <w:t>三</w:t>
            </w:r>
          </w:p>
        </w:tc>
        <w:tc>
          <w:tcPr>
            <w:tcW w:w="750" w:type="dxa"/>
            <w:shd w:val="clear" w:color="auto" w:fill="auto"/>
            <w:noWrap/>
            <w:vAlign w:val="center"/>
          </w:tcPr>
          <w:p>
            <w:pPr>
              <w:tabs>
                <w:tab w:val="left" w:pos="7725"/>
              </w:tabs>
              <w:autoSpaceDE/>
              <w:autoSpaceDN/>
              <w:adjustRightInd/>
              <w:snapToGrid w:val="0"/>
              <w:spacing w:line="240" w:lineRule="exact"/>
              <w:jc w:val="center"/>
              <w:rPr>
                <w:rFonts w:hAnsi="宋体" w:cs="宋体"/>
                <w:sz w:val="24"/>
                <w:szCs w:val="24"/>
              </w:rPr>
            </w:pPr>
            <w:r>
              <w:rPr>
                <w:rFonts w:hint="eastAsia" w:hAnsi="宋体" w:cs="宋体"/>
                <w:bCs/>
                <w:sz w:val="24"/>
                <w:szCs w:val="24"/>
              </w:rPr>
              <w:t>人员资质</w:t>
            </w:r>
          </w:p>
        </w:tc>
        <w:tc>
          <w:tcPr>
            <w:tcW w:w="3341" w:type="dxa"/>
            <w:shd w:val="clear" w:color="auto" w:fill="auto"/>
            <w:vAlign w:val="center"/>
          </w:tcPr>
          <w:p>
            <w:pPr>
              <w:autoSpaceDE/>
              <w:autoSpaceDN/>
              <w:adjustRightInd/>
              <w:spacing w:line="240" w:lineRule="exact"/>
              <w:rPr>
                <w:rFonts w:hAnsi="宋体" w:cs="宋体"/>
                <w:sz w:val="24"/>
                <w:szCs w:val="24"/>
              </w:rPr>
            </w:pPr>
            <w:r>
              <w:rPr>
                <w:rFonts w:hint="eastAsia" w:hAnsi="宋体" w:cs="宋体"/>
                <w:sz w:val="24"/>
                <w:szCs w:val="24"/>
              </w:rPr>
              <w:t>成交供应商应委派固定的具备相关资质专业技术人员并持证上岗驻场负责采购人的污水处理站运营管理工作，将公司的资质证书复印件和技术人员上岗证复印件交给采购人存档备案。</w:t>
            </w:r>
          </w:p>
        </w:tc>
        <w:tc>
          <w:tcPr>
            <w:tcW w:w="695" w:type="dxa"/>
            <w:shd w:val="clear" w:color="auto" w:fill="auto"/>
            <w:noWrap/>
            <w:vAlign w:val="center"/>
          </w:tcPr>
          <w:p>
            <w:pPr>
              <w:autoSpaceDE/>
              <w:autoSpaceDN/>
              <w:adjustRightInd/>
              <w:spacing w:line="240" w:lineRule="exact"/>
              <w:jc w:val="center"/>
              <w:rPr>
                <w:rFonts w:hAnsi="宋体" w:cs="宋体"/>
                <w:sz w:val="24"/>
                <w:szCs w:val="24"/>
              </w:rPr>
            </w:pPr>
            <w:r>
              <w:rPr>
                <w:rFonts w:hint="eastAsia" w:hAnsi="宋体" w:cs="宋体"/>
                <w:sz w:val="24"/>
                <w:szCs w:val="24"/>
              </w:rPr>
              <w:t>5</w:t>
            </w:r>
          </w:p>
        </w:tc>
        <w:tc>
          <w:tcPr>
            <w:tcW w:w="2687" w:type="dxa"/>
            <w:shd w:val="clear" w:color="auto" w:fill="auto"/>
            <w:vAlign w:val="center"/>
          </w:tcPr>
          <w:p>
            <w:pPr>
              <w:autoSpaceDE/>
              <w:autoSpaceDN/>
              <w:adjustRightInd/>
              <w:spacing w:line="240" w:lineRule="exact"/>
              <w:rPr>
                <w:rFonts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发现资质证件过期或不符的，扣减1分/次，扣完为止。</w:t>
            </w:r>
          </w:p>
        </w:tc>
        <w:tc>
          <w:tcPr>
            <w:tcW w:w="810" w:type="dxa"/>
            <w:shd w:val="clear" w:color="auto" w:fill="auto"/>
            <w:vAlign w:val="center"/>
          </w:tcPr>
          <w:p>
            <w:pPr>
              <w:autoSpaceDE/>
              <w:autoSpaceDN/>
              <w:adjustRightInd/>
              <w:spacing w:line="240" w:lineRule="exact"/>
              <w:rPr>
                <w:rFonts w:hAnsi="宋体" w:cs="宋体"/>
                <w:b/>
                <w:bCs/>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jc w:val="center"/>
        </w:trPr>
        <w:tc>
          <w:tcPr>
            <w:tcW w:w="604" w:type="dxa"/>
            <w:shd w:val="clear" w:color="auto" w:fill="auto"/>
            <w:vAlign w:val="center"/>
          </w:tcPr>
          <w:p>
            <w:pPr>
              <w:spacing w:line="260" w:lineRule="exact"/>
              <w:jc w:val="center"/>
              <w:rPr>
                <w:rFonts w:hAnsi="宋体" w:cs="宋体"/>
                <w:sz w:val="24"/>
                <w:szCs w:val="24"/>
              </w:rPr>
            </w:pPr>
            <w:r>
              <w:rPr>
                <w:rFonts w:hint="eastAsia" w:hAnsi="宋体" w:cs="宋体"/>
                <w:sz w:val="24"/>
                <w:szCs w:val="24"/>
              </w:rPr>
              <w:t>四</w:t>
            </w:r>
          </w:p>
        </w:tc>
        <w:tc>
          <w:tcPr>
            <w:tcW w:w="750" w:type="dxa"/>
            <w:shd w:val="clear" w:color="auto" w:fill="auto"/>
            <w:noWrap/>
            <w:vAlign w:val="center"/>
          </w:tcPr>
          <w:p>
            <w:pPr>
              <w:tabs>
                <w:tab w:val="left" w:pos="7725"/>
              </w:tabs>
              <w:autoSpaceDE/>
              <w:autoSpaceDN/>
              <w:adjustRightInd/>
              <w:snapToGrid w:val="0"/>
              <w:spacing w:line="240" w:lineRule="exact"/>
              <w:jc w:val="center"/>
              <w:rPr>
                <w:rFonts w:hAnsi="宋体" w:cs="宋体"/>
                <w:sz w:val="24"/>
                <w:szCs w:val="24"/>
              </w:rPr>
            </w:pPr>
            <w:r>
              <w:rPr>
                <w:rFonts w:hint="eastAsia" w:hAnsi="宋体" w:cs="宋体"/>
                <w:bCs/>
                <w:sz w:val="24"/>
                <w:szCs w:val="24"/>
              </w:rPr>
              <w:t>资料提交</w:t>
            </w:r>
          </w:p>
        </w:tc>
        <w:tc>
          <w:tcPr>
            <w:tcW w:w="3341" w:type="dxa"/>
            <w:shd w:val="clear" w:color="auto" w:fill="auto"/>
            <w:vAlign w:val="center"/>
          </w:tcPr>
          <w:p>
            <w:pPr>
              <w:spacing w:line="260" w:lineRule="exact"/>
              <w:rPr>
                <w:rFonts w:hAnsi="宋体" w:cs="宋体"/>
                <w:sz w:val="24"/>
                <w:szCs w:val="24"/>
              </w:rPr>
            </w:pPr>
            <w:r>
              <w:rPr>
                <w:rFonts w:hint="eastAsia" w:hAnsi="宋体" w:cs="宋体"/>
                <w:sz w:val="24"/>
                <w:szCs w:val="24"/>
              </w:rPr>
              <w:t>按时</w:t>
            </w:r>
            <w:r>
              <w:rPr>
                <w:rFonts w:hint="eastAsia" w:hAnsi="宋体" w:cs="宋体"/>
                <w:sz w:val="24"/>
                <w:szCs w:val="24"/>
                <w:lang w:val="en-GB"/>
              </w:rPr>
              <w:t>提交上一个月设备的运行、安全状况报告和检</w:t>
            </w:r>
            <w:r>
              <w:rPr>
                <w:rFonts w:hint="eastAsia" w:hAnsi="宋体" w:cs="宋体"/>
                <w:sz w:val="24"/>
                <w:szCs w:val="24"/>
              </w:rPr>
              <w:t>查</w:t>
            </w:r>
            <w:r>
              <w:rPr>
                <w:rFonts w:hint="eastAsia" w:hAnsi="宋体" w:cs="宋体"/>
                <w:sz w:val="24"/>
                <w:szCs w:val="24"/>
                <w:lang w:val="en-GB"/>
              </w:rPr>
              <w:t>记录、用料记录、检验检测记录</w:t>
            </w:r>
            <w:r>
              <w:rPr>
                <w:rFonts w:hint="eastAsia" w:hAnsi="宋体" w:cs="宋体"/>
                <w:sz w:val="24"/>
                <w:szCs w:val="24"/>
              </w:rPr>
              <w:t>等所有运营管理原始资料</w:t>
            </w:r>
            <w:r>
              <w:rPr>
                <w:rFonts w:hint="eastAsia" w:hAnsi="宋体" w:cs="宋体"/>
                <w:sz w:val="24"/>
                <w:szCs w:val="24"/>
                <w:lang w:val="en-GB"/>
              </w:rPr>
              <w:t>；如有突发事故发生，自发生之日起两天内提供事件处理报告；</w:t>
            </w:r>
            <w:r>
              <w:rPr>
                <w:rFonts w:hint="eastAsia" w:hAnsi="宋体" w:cs="宋体"/>
                <w:sz w:val="24"/>
                <w:szCs w:val="24"/>
              </w:rPr>
              <w:t>年终提交全年</w:t>
            </w:r>
            <w:r>
              <w:rPr>
                <w:rFonts w:hint="eastAsia" w:hAnsi="宋体" w:cs="宋体"/>
                <w:sz w:val="24"/>
                <w:szCs w:val="24"/>
                <w:lang w:val="en-GB"/>
              </w:rPr>
              <w:t>工作总结报告。</w:t>
            </w:r>
          </w:p>
        </w:tc>
        <w:tc>
          <w:tcPr>
            <w:tcW w:w="695" w:type="dxa"/>
            <w:shd w:val="clear" w:color="auto" w:fill="auto"/>
            <w:noWrap/>
            <w:vAlign w:val="center"/>
          </w:tcPr>
          <w:p>
            <w:pPr>
              <w:autoSpaceDE/>
              <w:autoSpaceDN/>
              <w:adjustRightInd/>
              <w:spacing w:line="240" w:lineRule="exact"/>
              <w:jc w:val="center"/>
              <w:rPr>
                <w:rFonts w:hAnsi="宋体" w:cs="宋体"/>
                <w:sz w:val="24"/>
                <w:szCs w:val="24"/>
              </w:rPr>
            </w:pPr>
            <w:r>
              <w:rPr>
                <w:rFonts w:hint="eastAsia" w:hAnsi="宋体" w:cs="宋体"/>
                <w:sz w:val="24"/>
                <w:szCs w:val="24"/>
              </w:rPr>
              <w:t>10</w:t>
            </w:r>
          </w:p>
        </w:tc>
        <w:tc>
          <w:tcPr>
            <w:tcW w:w="2687" w:type="dxa"/>
            <w:shd w:val="clear" w:color="auto" w:fill="auto"/>
            <w:vAlign w:val="center"/>
          </w:tcPr>
          <w:p>
            <w:pPr>
              <w:autoSpaceDE/>
              <w:autoSpaceDN/>
              <w:adjustRightInd/>
              <w:spacing w:line="240" w:lineRule="exact"/>
              <w:rPr>
                <w:rFonts w:hAnsi="宋体" w:cs="宋体"/>
                <w:sz w:val="24"/>
                <w:szCs w:val="24"/>
              </w:rPr>
            </w:pPr>
            <w:r>
              <w:rPr>
                <w:rFonts w:hint="eastAsia" w:hAnsi="宋体" w:cs="宋体"/>
                <w:sz w:val="24"/>
                <w:szCs w:val="24"/>
              </w:rPr>
              <w:t>未按时交齐相关资料的，扣2分/次，扣完为止。</w:t>
            </w:r>
          </w:p>
        </w:tc>
        <w:tc>
          <w:tcPr>
            <w:tcW w:w="810" w:type="dxa"/>
            <w:shd w:val="clear" w:color="auto" w:fill="auto"/>
            <w:vAlign w:val="center"/>
          </w:tcPr>
          <w:p>
            <w:pPr>
              <w:spacing w:line="260" w:lineRule="exact"/>
              <w:ind w:left="57"/>
              <w:jc w:val="center"/>
              <w:rPr>
                <w:rFonts w:hAnsi="宋体" w:cs="宋体"/>
                <w:b/>
                <w:bCs/>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jc w:val="center"/>
        </w:trPr>
        <w:tc>
          <w:tcPr>
            <w:tcW w:w="604" w:type="dxa"/>
            <w:shd w:val="clear" w:color="auto" w:fill="auto"/>
            <w:vAlign w:val="center"/>
          </w:tcPr>
          <w:p>
            <w:pPr>
              <w:spacing w:line="260" w:lineRule="exact"/>
              <w:jc w:val="center"/>
              <w:rPr>
                <w:rFonts w:hAnsi="宋体" w:cs="宋体"/>
                <w:sz w:val="24"/>
                <w:szCs w:val="24"/>
              </w:rPr>
            </w:pPr>
            <w:r>
              <w:rPr>
                <w:rFonts w:hint="eastAsia" w:hAnsi="宋体" w:cs="宋体"/>
                <w:sz w:val="24"/>
                <w:szCs w:val="24"/>
              </w:rPr>
              <w:t>五</w:t>
            </w:r>
          </w:p>
        </w:tc>
        <w:tc>
          <w:tcPr>
            <w:tcW w:w="750" w:type="dxa"/>
            <w:shd w:val="clear" w:color="auto" w:fill="auto"/>
            <w:noWrap/>
            <w:vAlign w:val="center"/>
          </w:tcPr>
          <w:p>
            <w:pPr>
              <w:tabs>
                <w:tab w:val="left" w:pos="7725"/>
              </w:tabs>
              <w:autoSpaceDE/>
              <w:autoSpaceDN/>
              <w:adjustRightInd/>
              <w:snapToGrid w:val="0"/>
              <w:spacing w:line="240" w:lineRule="exact"/>
              <w:jc w:val="center"/>
              <w:rPr>
                <w:rFonts w:hAnsi="宋体" w:cs="宋体"/>
                <w:sz w:val="24"/>
                <w:szCs w:val="24"/>
              </w:rPr>
            </w:pPr>
            <w:r>
              <w:rPr>
                <w:rFonts w:hint="eastAsia" w:hAnsi="宋体" w:cs="宋体"/>
                <w:bCs/>
                <w:sz w:val="24"/>
                <w:szCs w:val="24"/>
              </w:rPr>
              <w:t>员工培训</w:t>
            </w:r>
          </w:p>
        </w:tc>
        <w:tc>
          <w:tcPr>
            <w:tcW w:w="3341" w:type="dxa"/>
            <w:shd w:val="clear" w:color="auto" w:fill="auto"/>
            <w:vAlign w:val="center"/>
          </w:tcPr>
          <w:p>
            <w:pPr>
              <w:spacing w:line="260" w:lineRule="exact"/>
              <w:rPr>
                <w:rFonts w:hAnsi="宋体" w:cs="宋体"/>
                <w:sz w:val="24"/>
                <w:szCs w:val="24"/>
              </w:rPr>
            </w:pPr>
            <w:r>
              <w:rPr>
                <w:rFonts w:hint="eastAsia" w:hAnsi="宋体" w:cs="宋体"/>
                <w:sz w:val="24"/>
                <w:szCs w:val="24"/>
              </w:rPr>
              <w:t>公司有培训计划并针对员工进行实施，员工熟悉本岗位工作职责和流程及要求、相关法律法规、应急预案和处理方法等，应急处理培训合格率达100%。新入职员工应培训合格方可单独上岗。</w:t>
            </w:r>
          </w:p>
        </w:tc>
        <w:tc>
          <w:tcPr>
            <w:tcW w:w="695" w:type="dxa"/>
            <w:shd w:val="clear" w:color="auto" w:fill="auto"/>
            <w:noWrap/>
            <w:vAlign w:val="center"/>
          </w:tcPr>
          <w:p>
            <w:pPr>
              <w:spacing w:line="260" w:lineRule="exact"/>
              <w:jc w:val="center"/>
              <w:rPr>
                <w:rFonts w:hAnsi="宋体" w:cs="宋体"/>
                <w:sz w:val="24"/>
                <w:szCs w:val="24"/>
              </w:rPr>
            </w:pPr>
            <w:r>
              <w:rPr>
                <w:rFonts w:hint="eastAsia" w:hAnsi="宋体" w:cs="宋体"/>
                <w:sz w:val="24"/>
                <w:szCs w:val="24"/>
              </w:rPr>
              <w:t>4</w:t>
            </w:r>
          </w:p>
        </w:tc>
        <w:tc>
          <w:tcPr>
            <w:tcW w:w="2687" w:type="dxa"/>
            <w:shd w:val="clear" w:color="auto" w:fill="auto"/>
            <w:vAlign w:val="center"/>
          </w:tcPr>
          <w:p>
            <w:pPr>
              <w:spacing w:line="260" w:lineRule="exact"/>
              <w:rPr>
                <w:rFonts w:hAnsi="宋体" w:cs="宋体"/>
                <w:sz w:val="24"/>
                <w:szCs w:val="24"/>
              </w:rPr>
            </w:pPr>
            <w:r>
              <w:rPr>
                <w:rFonts w:hint="eastAsia" w:hAnsi="宋体" w:cs="宋体"/>
                <w:sz w:val="24"/>
                <w:szCs w:val="24"/>
              </w:rPr>
              <w:t>不熟悉职责、工作流程的，扣2分/人；新入职员工未经培训或培训后不熟悉工作独上岗，扣减1分/人，扣完为止。</w:t>
            </w:r>
          </w:p>
        </w:tc>
        <w:tc>
          <w:tcPr>
            <w:tcW w:w="810" w:type="dxa"/>
            <w:shd w:val="clear" w:color="auto" w:fill="auto"/>
            <w:vAlign w:val="center"/>
          </w:tcPr>
          <w:p>
            <w:pPr>
              <w:spacing w:line="260" w:lineRule="exact"/>
              <w:ind w:left="57"/>
              <w:jc w:val="center"/>
              <w:rPr>
                <w:rFonts w:hAnsi="宋体" w:cs="宋体"/>
                <w:b/>
                <w:bCs/>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2" w:hRule="atLeast"/>
          <w:jc w:val="center"/>
        </w:trPr>
        <w:tc>
          <w:tcPr>
            <w:tcW w:w="604" w:type="dxa"/>
            <w:shd w:val="clear" w:color="auto" w:fill="auto"/>
            <w:vAlign w:val="center"/>
          </w:tcPr>
          <w:p>
            <w:pPr>
              <w:spacing w:line="260" w:lineRule="exact"/>
              <w:jc w:val="center"/>
              <w:rPr>
                <w:rFonts w:hAnsi="宋体" w:cs="宋体"/>
                <w:sz w:val="24"/>
                <w:szCs w:val="24"/>
              </w:rPr>
            </w:pPr>
            <w:r>
              <w:rPr>
                <w:rFonts w:hint="eastAsia" w:hAnsi="宋体" w:cs="宋体"/>
                <w:sz w:val="24"/>
                <w:szCs w:val="24"/>
              </w:rPr>
              <w:t>六</w:t>
            </w:r>
          </w:p>
        </w:tc>
        <w:tc>
          <w:tcPr>
            <w:tcW w:w="750" w:type="dxa"/>
            <w:shd w:val="clear" w:color="auto" w:fill="auto"/>
            <w:noWrap/>
            <w:vAlign w:val="center"/>
          </w:tcPr>
          <w:p>
            <w:pPr>
              <w:tabs>
                <w:tab w:val="left" w:pos="7725"/>
              </w:tabs>
              <w:autoSpaceDE/>
              <w:autoSpaceDN/>
              <w:adjustRightInd/>
              <w:snapToGrid w:val="0"/>
              <w:spacing w:line="240" w:lineRule="exact"/>
              <w:jc w:val="center"/>
              <w:rPr>
                <w:rFonts w:hAnsi="宋体" w:cs="宋体"/>
                <w:sz w:val="24"/>
                <w:szCs w:val="24"/>
              </w:rPr>
            </w:pPr>
            <w:r>
              <w:rPr>
                <w:rFonts w:hint="eastAsia" w:hAnsi="宋体" w:cs="宋体"/>
                <w:bCs/>
                <w:sz w:val="24"/>
                <w:szCs w:val="24"/>
              </w:rPr>
              <w:t>质量持续改进</w:t>
            </w:r>
          </w:p>
        </w:tc>
        <w:tc>
          <w:tcPr>
            <w:tcW w:w="3341" w:type="dxa"/>
            <w:shd w:val="clear" w:color="auto" w:fill="auto"/>
            <w:vAlign w:val="center"/>
          </w:tcPr>
          <w:p>
            <w:pPr>
              <w:autoSpaceDE/>
              <w:autoSpaceDN/>
              <w:adjustRightInd/>
              <w:spacing w:line="240" w:lineRule="exact"/>
              <w:rPr>
                <w:rFonts w:hAnsi="宋体" w:cs="宋体"/>
                <w:sz w:val="24"/>
                <w:szCs w:val="24"/>
              </w:rPr>
            </w:pPr>
            <w:r>
              <w:rPr>
                <w:rFonts w:hint="eastAsia" w:hAnsi="宋体" w:cs="宋体"/>
                <w:sz w:val="24"/>
                <w:szCs w:val="24"/>
              </w:rPr>
              <w:t>对存在问题及时改进，如收到采购人发出的整改通知函，应按期整改并提交整改意见。发生不良事件应1小时内采取补救措施将影响降到最低，处理结束后，针对发生原因进行分析并持续改进，在一周内提交整改报告到采购人主管部门。</w:t>
            </w:r>
          </w:p>
        </w:tc>
        <w:tc>
          <w:tcPr>
            <w:tcW w:w="695" w:type="dxa"/>
            <w:shd w:val="clear" w:color="auto" w:fill="auto"/>
            <w:noWrap/>
            <w:vAlign w:val="center"/>
          </w:tcPr>
          <w:p>
            <w:pPr>
              <w:autoSpaceDE/>
              <w:autoSpaceDN/>
              <w:adjustRightInd/>
              <w:spacing w:line="240" w:lineRule="exact"/>
              <w:jc w:val="center"/>
              <w:rPr>
                <w:rFonts w:hAnsi="宋体" w:cs="宋体"/>
                <w:sz w:val="24"/>
                <w:szCs w:val="24"/>
              </w:rPr>
            </w:pPr>
            <w:r>
              <w:rPr>
                <w:rFonts w:hint="eastAsia" w:hAnsi="宋体" w:cs="宋体"/>
                <w:sz w:val="24"/>
                <w:szCs w:val="24"/>
              </w:rPr>
              <w:t>10</w:t>
            </w:r>
          </w:p>
        </w:tc>
        <w:tc>
          <w:tcPr>
            <w:tcW w:w="2687" w:type="dxa"/>
            <w:shd w:val="clear" w:color="auto" w:fill="auto"/>
            <w:vAlign w:val="center"/>
          </w:tcPr>
          <w:p>
            <w:pPr>
              <w:autoSpaceDE/>
              <w:autoSpaceDN/>
              <w:adjustRightInd/>
              <w:spacing w:line="240" w:lineRule="exact"/>
              <w:rPr>
                <w:rFonts w:hAnsi="宋体" w:cs="宋体"/>
                <w:sz w:val="24"/>
                <w:szCs w:val="24"/>
              </w:rPr>
            </w:pPr>
            <w:r>
              <w:rPr>
                <w:rFonts w:hint="eastAsia" w:hAnsi="宋体" w:cs="宋体"/>
                <w:sz w:val="24"/>
                <w:szCs w:val="24"/>
              </w:rPr>
              <w:t>未按要求处理或改进的，扣1分/次；如果因公司责任再次发生同类不良事件的，扣3分/项，扣完为止。</w:t>
            </w:r>
          </w:p>
        </w:tc>
        <w:tc>
          <w:tcPr>
            <w:tcW w:w="810" w:type="dxa"/>
            <w:shd w:val="clear" w:color="auto" w:fill="auto"/>
            <w:vAlign w:val="center"/>
          </w:tcPr>
          <w:p>
            <w:pPr>
              <w:spacing w:line="260" w:lineRule="exact"/>
              <w:ind w:left="57"/>
              <w:jc w:val="center"/>
              <w:rPr>
                <w:rFonts w:hAnsi="宋体" w:cs="宋体"/>
                <w:b/>
                <w:bCs/>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3" w:hRule="atLeast"/>
          <w:jc w:val="center"/>
        </w:trPr>
        <w:tc>
          <w:tcPr>
            <w:tcW w:w="604" w:type="dxa"/>
            <w:shd w:val="clear" w:color="auto" w:fill="auto"/>
            <w:vAlign w:val="center"/>
          </w:tcPr>
          <w:p>
            <w:pPr>
              <w:spacing w:line="260" w:lineRule="exact"/>
              <w:jc w:val="center"/>
              <w:rPr>
                <w:rFonts w:hAnsi="宋体" w:cs="宋体"/>
                <w:sz w:val="24"/>
                <w:szCs w:val="24"/>
              </w:rPr>
            </w:pPr>
            <w:r>
              <w:rPr>
                <w:rFonts w:hint="eastAsia" w:hAnsi="宋体" w:cs="宋体"/>
                <w:sz w:val="24"/>
                <w:szCs w:val="24"/>
              </w:rPr>
              <w:t>七</w:t>
            </w:r>
          </w:p>
        </w:tc>
        <w:tc>
          <w:tcPr>
            <w:tcW w:w="750" w:type="dxa"/>
            <w:shd w:val="clear" w:color="auto" w:fill="auto"/>
            <w:noWrap/>
            <w:vAlign w:val="center"/>
          </w:tcPr>
          <w:p>
            <w:pPr>
              <w:autoSpaceDE/>
              <w:autoSpaceDN/>
              <w:adjustRightInd/>
              <w:spacing w:line="240" w:lineRule="exact"/>
              <w:jc w:val="center"/>
              <w:rPr>
                <w:rFonts w:hAnsi="宋体" w:cs="宋体"/>
                <w:sz w:val="24"/>
                <w:szCs w:val="24"/>
              </w:rPr>
            </w:pPr>
            <w:r>
              <w:rPr>
                <w:rFonts w:hint="eastAsia" w:hAnsi="宋体" w:cs="宋体"/>
                <w:sz w:val="24"/>
                <w:szCs w:val="24"/>
              </w:rPr>
              <w:t>劳动纪律</w:t>
            </w:r>
          </w:p>
        </w:tc>
        <w:tc>
          <w:tcPr>
            <w:tcW w:w="3341" w:type="dxa"/>
            <w:shd w:val="clear" w:color="auto" w:fill="auto"/>
            <w:vAlign w:val="center"/>
          </w:tcPr>
          <w:p>
            <w:pPr>
              <w:spacing w:line="260" w:lineRule="exact"/>
              <w:rPr>
                <w:rFonts w:hAnsi="宋体" w:cs="宋体"/>
                <w:sz w:val="24"/>
                <w:szCs w:val="24"/>
              </w:rPr>
            </w:pPr>
            <w:r>
              <w:rPr>
                <w:rFonts w:hint="eastAsia" w:hAnsi="宋体" w:cs="宋体"/>
                <w:sz w:val="24"/>
                <w:szCs w:val="24"/>
              </w:rPr>
              <w:t>成交供应商驻守的工作人员应遵守采购人的各项规章制度及疫情防控要求，服从指挥，配合采购人的工作要求，积极响应采购人的疫情防控措施，接受采购人的质量监督和检查。</w:t>
            </w:r>
          </w:p>
        </w:tc>
        <w:tc>
          <w:tcPr>
            <w:tcW w:w="695" w:type="dxa"/>
            <w:shd w:val="clear" w:color="auto" w:fill="auto"/>
            <w:noWrap/>
            <w:vAlign w:val="center"/>
          </w:tcPr>
          <w:p>
            <w:pPr>
              <w:spacing w:line="260" w:lineRule="exact"/>
              <w:jc w:val="center"/>
              <w:rPr>
                <w:rFonts w:hAnsi="宋体" w:cs="宋体"/>
                <w:sz w:val="24"/>
                <w:szCs w:val="24"/>
              </w:rPr>
            </w:pPr>
            <w:r>
              <w:rPr>
                <w:rFonts w:hint="eastAsia" w:hAnsi="宋体" w:cs="宋体"/>
                <w:sz w:val="24"/>
                <w:szCs w:val="24"/>
              </w:rPr>
              <w:t>6</w:t>
            </w:r>
          </w:p>
        </w:tc>
        <w:tc>
          <w:tcPr>
            <w:tcW w:w="2687" w:type="dxa"/>
            <w:shd w:val="clear" w:color="auto" w:fill="auto"/>
            <w:vAlign w:val="center"/>
          </w:tcPr>
          <w:p>
            <w:pPr>
              <w:spacing w:line="260" w:lineRule="exact"/>
              <w:rPr>
                <w:rFonts w:hAnsi="宋体" w:cs="宋体"/>
                <w:sz w:val="24"/>
                <w:szCs w:val="24"/>
              </w:rPr>
            </w:pPr>
            <w:r>
              <w:rPr>
                <w:rFonts w:hint="eastAsia" w:hAnsi="宋体" w:cs="宋体"/>
                <w:sz w:val="24"/>
                <w:szCs w:val="24"/>
              </w:rPr>
              <w:t>一人一项不符合扣0.5分/次；扣完该项为止；同类问题出现≥3次扣3/人.次，扣完该项分为止。</w:t>
            </w:r>
          </w:p>
        </w:tc>
        <w:tc>
          <w:tcPr>
            <w:tcW w:w="810" w:type="dxa"/>
            <w:shd w:val="clear" w:color="auto" w:fill="auto"/>
            <w:vAlign w:val="center"/>
          </w:tcPr>
          <w:p>
            <w:pPr>
              <w:spacing w:line="260" w:lineRule="exact"/>
              <w:ind w:left="57"/>
              <w:jc w:val="center"/>
              <w:rPr>
                <w:rFonts w:hAnsi="宋体" w:cs="宋体"/>
                <w:b/>
                <w:bCs/>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604" w:type="dxa"/>
            <w:shd w:val="clear" w:color="auto" w:fill="auto"/>
            <w:vAlign w:val="center"/>
          </w:tcPr>
          <w:p>
            <w:pPr>
              <w:spacing w:line="260" w:lineRule="exact"/>
              <w:jc w:val="center"/>
              <w:rPr>
                <w:rFonts w:hAnsi="宋体" w:cs="宋体"/>
                <w:sz w:val="24"/>
                <w:szCs w:val="24"/>
              </w:rPr>
            </w:pPr>
            <w:r>
              <w:rPr>
                <w:rFonts w:hint="eastAsia" w:hAnsi="宋体" w:cs="宋体"/>
                <w:sz w:val="24"/>
                <w:szCs w:val="24"/>
              </w:rPr>
              <w:t>八</w:t>
            </w:r>
          </w:p>
        </w:tc>
        <w:tc>
          <w:tcPr>
            <w:tcW w:w="750" w:type="dxa"/>
            <w:shd w:val="clear" w:color="auto" w:fill="auto"/>
            <w:noWrap/>
            <w:vAlign w:val="center"/>
          </w:tcPr>
          <w:p>
            <w:pPr>
              <w:spacing w:line="260" w:lineRule="exact"/>
              <w:rPr>
                <w:rFonts w:hAnsi="宋体" w:cs="宋体"/>
                <w:sz w:val="24"/>
                <w:szCs w:val="24"/>
              </w:rPr>
            </w:pPr>
            <w:r>
              <w:rPr>
                <w:rFonts w:hint="eastAsia" w:hAnsi="宋体" w:cs="宋体"/>
                <w:sz w:val="24"/>
                <w:szCs w:val="24"/>
              </w:rPr>
              <w:t>应急响应</w:t>
            </w:r>
          </w:p>
        </w:tc>
        <w:tc>
          <w:tcPr>
            <w:tcW w:w="3341" w:type="dxa"/>
            <w:shd w:val="clear" w:color="auto" w:fill="auto"/>
            <w:vAlign w:val="center"/>
          </w:tcPr>
          <w:p>
            <w:pPr>
              <w:spacing w:line="260" w:lineRule="exact"/>
              <w:rPr>
                <w:rFonts w:hAnsi="宋体" w:cs="宋体"/>
                <w:sz w:val="24"/>
                <w:szCs w:val="24"/>
              </w:rPr>
            </w:pPr>
            <w:r>
              <w:rPr>
                <w:rFonts w:hint="eastAsia" w:hAnsi="宋体" w:cs="宋体"/>
                <w:sz w:val="24"/>
                <w:szCs w:val="24"/>
              </w:rPr>
              <w:t>提供24小时响应服务。非正常上班时间遇临时性或突发性的工作，应在接到采购人通知1小时内到达现场处理，到场后2小时内处理完毕。</w:t>
            </w:r>
          </w:p>
        </w:tc>
        <w:tc>
          <w:tcPr>
            <w:tcW w:w="695" w:type="dxa"/>
            <w:shd w:val="clear" w:color="auto" w:fill="auto"/>
            <w:noWrap/>
            <w:vAlign w:val="center"/>
          </w:tcPr>
          <w:p>
            <w:pPr>
              <w:spacing w:line="260" w:lineRule="exact"/>
              <w:jc w:val="center"/>
              <w:rPr>
                <w:rFonts w:hAnsi="宋体" w:cs="宋体"/>
                <w:sz w:val="24"/>
                <w:szCs w:val="24"/>
              </w:rPr>
            </w:pPr>
            <w:r>
              <w:rPr>
                <w:rFonts w:hint="eastAsia" w:hAnsi="宋体" w:cs="宋体"/>
                <w:sz w:val="24"/>
                <w:szCs w:val="24"/>
              </w:rPr>
              <w:t>5</w:t>
            </w:r>
          </w:p>
        </w:tc>
        <w:tc>
          <w:tcPr>
            <w:tcW w:w="2687" w:type="dxa"/>
            <w:shd w:val="clear" w:color="auto" w:fill="auto"/>
            <w:vAlign w:val="center"/>
          </w:tcPr>
          <w:p>
            <w:pPr>
              <w:spacing w:line="260" w:lineRule="exact"/>
              <w:rPr>
                <w:rFonts w:hAnsi="宋体" w:cs="宋体"/>
                <w:sz w:val="24"/>
                <w:szCs w:val="24"/>
              </w:rPr>
            </w:pPr>
            <w:r>
              <w:rPr>
                <w:rFonts w:hint="eastAsia" w:hAnsi="宋体" w:cs="宋体"/>
                <w:sz w:val="24"/>
                <w:szCs w:val="24"/>
              </w:rPr>
              <w:t>未按要求响应或未按时到达现场处理的，每发生一次扣1分，扣完为止。</w:t>
            </w:r>
          </w:p>
        </w:tc>
        <w:tc>
          <w:tcPr>
            <w:tcW w:w="810" w:type="dxa"/>
            <w:shd w:val="clear" w:color="auto" w:fill="auto"/>
            <w:vAlign w:val="center"/>
          </w:tcPr>
          <w:p>
            <w:pPr>
              <w:spacing w:line="260" w:lineRule="exact"/>
              <w:ind w:left="57"/>
              <w:jc w:val="center"/>
              <w:rPr>
                <w:rFonts w:hAnsi="宋体" w:cs="宋体"/>
                <w:b/>
                <w:bCs/>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04" w:type="dxa"/>
            <w:shd w:val="clear" w:color="auto" w:fill="auto"/>
            <w:vAlign w:val="center"/>
          </w:tcPr>
          <w:p>
            <w:pPr>
              <w:spacing w:line="260" w:lineRule="exact"/>
              <w:jc w:val="center"/>
              <w:rPr>
                <w:rFonts w:hAnsi="宋体" w:cs="宋体"/>
                <w:sz w:val="24"/>
                <w:szCs w:val="24"/>
              </w:rPr>
            </w:pPr>
          </w:p>
        </w:tc>
        <w:tc>
          <w:tcPr>
            <w:tcW w:w="750" w:type="dxa"/>
            <w:shd w:val="clear" w:color="auto" w:fill="auto"/>
            <w:noWrap/>
            <w:vAlign w:val="center"/>
          </w:tcPr>
          <w:p>
            <w:pPr>
              <w:spacing w:line="260" w:lineRule="exact"/>
              <w:jc w:val="center"/>
              <w:rPr>
                <w:rFonts w:hAnsi="宋体" w:cs="宋体"/>
                <w:sz w:val="24"/>
                <w:szCs w:val="24"/>
              </w:rPr>
            </w:pPr>
          </w:p>
        </w:tc>
        <w:tc>
          <w:tcPr>
            <w:tcW w:w="3341" w:type="dxa"/>
            <w:shd w:val="clear" w:color="auto" w:fill="auto"/>
            <w:vAlign w:val="center"/>
          </w:tcPr>
          <w:p>
            <w:pPr>
              <w:spacing w:line="260" w:lineRule="exact"/>
              <w:jc w:val="center"/>
              <w:rPr>
                <w:rFonts w:hAnsi="宋体" w:cs="宋体"/>
                <w:sz w:val="24"/>
                <w:szCs w:val="24"/>
              </w:rPr>
            </w:pPr>
            <w:r>
              <w:rPr>
                <w:rFonts w:hint="eastAsia" w:hAnsi="宋体" w:cs="宋体"/>
                <w:b/>
                <w:bCs/>
                <w:sz w:val="24"/>
                <w:szCs w:val="24"/>
              </w:rPr>
              <w:t>合计</w:t>
            </w:r>
          </w:p>
        </w:tc>
        <w:tc>
          <w:tcPr>
            <w:tcW w:w="695" w:type="dxa"/>
            <w:shd w:val="clear" w:color="auto" w:fill="auto"/>
            <w:noWrap/>
            <w:vAlign w:val="center"/>
          </w:tcPr>
          <w:p>
            <w:pPr>
              <w:spacing w:line="260" w:lineRule="exact"/>
              <w:jc w:val="center"/>
              <w:rPr>
                <w:rFonts w:hAnsi="宋体" w:cs="宋体"/>
                <w:sz w:val="24"/>
                <w:szCs w:val="24"/>
              </w:rPr>
            </w:pPr>
            <w:r>
              <w:rPr>
                <w:rFonts w:hint="eastAsia" w:hAnsi="宋体" w:cs="宋体"/>
                <w:b/>
                <w:bCs/>
                <w:sz w:val="24"/>
                <w:szCs w:val="24"/>
              </w:rPr>
              <w:t>100</w:t>
            </w:r>
          </w:p>
        </w:tc>
        <w:tc>
          <w:tcPr>
            <w:tcW w:w="2687" w:type="dxa"/>
            <w:shd w:val="clear" w:color="auto" w:fill="auto"/>
            <w:vAlign w:val="center"/>
          </w:tcPr>
          <w:p>
            <w:pPr>
              <w:spacing w:line="260" w:lineRule="exact"/>
              <w:jc w:val="center"/>
              <w:rPr>
                <w:rFonts w:hAnsi="宋体" w:cs="宋体"/>
                <w:sz w:val="24"/>
                <w:szCs w:val="24"/>
              </w:rPr>
            </w:pPr>
          </w:p>
        </w:tc>
        <w:tc>
          <w:tcPr>
            <w:tcW w:w="810" w:type="dxa"/>
            <w:shd w:val="clear" w:color="auto" w:fill="auto"/>
            <w:vAlign w:val="center"/>
          </w:tcPr>
          <w:p>
            <w:pPr>
              <w:spacing w:line="260" w:lineRule="exact"/>
              <w:jc w:val="center"/>
              <w:rPr>
                <w:rFonts w:hAnsi="宋体" w:cs="宋体"/>
                <w:sz w:val="24"/>
                <w:szCs w:val="24"/>
              </w:rPr>
            </w:pPr>
          </w:p>
        </w:tc>
      </w:tr>
    </w:tbl>
    <w:p>
      <w:pPr>
        <w:pStyle w:val="7"/>
        <w:tabs>
          <w:tab w:val="left" w:pos="567"/>
        </w:tabs>
        <w:adjustRightInd w:val="0"/>
        <w:snapToGrid w:val="0"/>
        <w:spacing w:line="360" w:lineRule="auto"/>
        <w:rPr>
          <w:rFonts w:hAnsi="宋体" w:cs="宋体"/>
          <w:b/>
          <w:color w:val="000000"/>
          <w:sz w:val="24"/>
          <w:szCs w:val="24"/>
        </w:rPr>
      </w:pPr>
    </w:p>
    <w:p>
      <w:pPr>
        <w:pStyle w:val="7"/>
        <w:tabs>
          <w:tab w:val="left" w:pos="567"/>
        </w:tabs>
        <w:adjustRightInd w:val="0"/>
        <w:snapToGrid w:val="0"/>
        <w:spacing w:line="360" w:lineRule="auto"/>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七、付款方式</w:t>
      </w:r>
    </w:p>
    <w:p>
      <w:pPr>
        <w:spacing w:line="360" w:lineRule="auto"/>
        <w:ind w:firstLine="240" w:firstLineChars="100"/>
        <w:rPr>
          <w:rFonts w:hint="eastAsia" w:ascii="Times New Roman" w:hAnsi="宋体" w:eastAsia="宋体" w:cs="宋体"/>
          <w:b w:val="0"/>
          <w:bCs w:val="0"/>
          <w:color w:val="000000"/>
          <w:kern w:val="2"/>
          <w:sz w:val="24"/>
          <w:szCs w:val="24"/>
          <w:lang w:val="en-US" w:eastAsia="zh-CN" w:bidi="ar-SA"/>
        </w:rPr>
      </w:pPr>
      <w:r>
        <w:rPr>
          <w:rFonts w:hint="eastAsia" w:ascii="Times New Roman" w:hAnsi="宋体" w:eastAsia="宋体" w:cs="宋体"/>
          <w:b w:val="0"/>
          <w:bCs w:val="0"/>
          <w:color w:val="000000"/>
          <w:kern w:val="2"/>
          <w:sz w:val="24"/>
          <w:szCs w:val="24"/>
          <w:lang w:val="en-US" w:eastAsia="zh-CN" w:bidi="ar-SA"/>
        </w:rPr>
        <w:t>服务费的支付：采购人每月根据当月的服务质量考核结果支付服务费。采购人主管部门每月15日前将服务质量考核结果反馈给成交供应商，成交供应商对考核结果有异议的，应在收到反馈意见后两天内提交书面意见，逾期未提交视为同意。经双方确定服务费用，成交供应商开具有效发票，采购人收到发票并审核无误后一个月内支付费用。</w:t>
      </w:r>
    </w:p>
    <w:p>
      <w:pPr>
        <w:rPr>
          <w:rFonts w:hint="eastAsia" w:ascii="宋体" w:hAnsi="宋体" w:eastAsia="宋体" w:cs="宋体"/>
          <w:b/>
          <w:color w:val="auto"/>
          <w:sz w:val="24"/>
          <w:szCs w:val="24"/>
          <w:highlight w:val="none"/>
          <w:lang w:val="zh-CN"/>
        </w:rPr>
      </w:pPr>
    </w:p>
    <w:p>
      <w:pPr>
        <w:pStyle w:val="2"/>
        <w:rPr>
          <w:rFonts w:hint="eastAsia" w:ascii="宋体" w:hAnsi="宋体" w:eastAsia="宋体" w:cs="宋体"/>
          <w:b/>
          <w:color w:val="auto"/>
          <w:sz w:val="24"/>
          <w:szCs w:val="24"/>
          <w:highlight w:val="none"/>
          <w:lang w:val="zh-CN"/>
        </w:rPr>
      </w:pPr>
    </w:p>
    <w:p>
      <w:pPr>
        <w:pStyle w:val="3"/>
        <w:rPr>
          <w:rFonts w:hint="eastAsia" w:ascii="宋体" w:hAnsi="宋体" w:eastAsia="宋体" w:cs="宋体"/>
          <w:b/>
          <w:color w:val="auto"/>
          <w:sz w:val="24"/>
          <w:szCs w:val="24"/>
          <w:highlight w:val="none"/>
          <w:lang w:val="zh-CN"/>
        </w:rPr>
      </w:pPr>
    </w:p>
    <w:p>
      <w:pPr>
        <w:rPr>
          <w:rFonts w:hint="eastAsia" w:ascii="宋体" w:hAnsi="宋体" w:eastAsia="宋体" w:cs="宋体"/>
          <w:b/>
          <w:color w:val="auto"/>
          <w:sz w:val="24"/>
          <w:szCs w:val="24"/>
          <w:highlight w:val="none"/>
          <w:lang w:val="zh-CN"/>
        </w:rPr>
      </w:pPr>
    </w:p>
    <w:p>
      <w:pPr>
        <w:pStyle w:val="2"/>
        <w:rPr>
          <w:rFonts w:hint="eastAsia" w:ascii="宋体" w:hAnsi="宋体" w:eastAsia="宋体" w:cs="宋体"/>
          <w:color w:val="auto"/>
          <w:highlight w:val="none"/>
        </w:rPr>
        <w:sectPr>
          <w:headerReference r:id="rId4" w:type="default"/>
          <w:footerReference r:id="rId5" w:type="default"/>
          <w:pgSz w:w="11907" w:h="16840"/>
          <w:pgMar w:top="1418" w:right="1418" w:bottom="1418" w:left="1418" w:header="567" w:footer="748" w:gutter="0"/>
          <w:cols w:space="720" w:num="1"/>
          <w:docGrid w:linePitch="312" w:charSpace="0"/>
        </w:sect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4"/>
        <w:numPr>
          <w:ilvl w:val="0"/>
          <w:numId w:val="9"/>
        </w:numPr>
        <w:bidi w:val="0"/>
        <w:jc w:val="center"/>
        <w:rPr>
          <w:rFonts w:hint="eastAsia"/>
          <w:lang w:val="en-US" w:eastAsia="zh-CN"/>
        </w:rPr>
      </w:pPr>
      <w:bookmarkStart w:id="4" w:name="_Toc32635"/>
      <w:r>
        <w:rPr>
          <w:rFonts w:hint="eastAsia"/>
          <w:lang w:val="en-US" w:eastAsia="zh-CN"/>
        </w:rPr>
        <w:t>评分标准</w:t>
      </w:r>
      <w:bookmarkEnd w:id="4"/>
    </w:p>
    <w:p>
      <w:pPr>
        <w:widowControl w:val="0"/>
        <w:numPr>
          <w:ilvl w:val="0"/>
          <w:numId w:val="0"/>
        </w:numPr>
        <w:jc w:val="both"/>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keepNext w:val="0"/>
        <w:keepLines w:val="0"/>
        <w:pageBreakBefore w:val="0"/>
        <w:kinsoku/>
        <w:topLinePunct w:val="0"/>
        <w:bidi w:val="0"/>
        <w:spacing w:line="500" w:lineRule="exact"/>
        <w:jc w:val="center"/>
        <w:textAlignment w:val="auto"/>
        <w:rPr>
          <w:rFonts w:hint="eastAsia" w:ascii="宋体" w:hAnsi="宋体" w:eastAsia="宋体" w:cs="宋体"/>
          <w:b/>
          <w:bCs/>
          <w:color w:val="000000" w:themeColor="text1"/>
          <w:sz w:val="48"/>
          <w:szCs w:val="48"/>
          <w:highlight w:val="none"/>
          <w14:textFill>
            <w14:solidFill>
              <w14:schemeClr w14:val="tx1"/>
            </w14:solidFill>
          </w14:textFill>
        </w:rPr>
      </w:pPr>
      <w:r>
        <w:rPr>
          <w:rFonts w:hint="eastAsia" w:ascii="宋体" w:hAnsi="宋体" w:eastAsia="宋体" w:cs="宋体"/>
          <w:b/>
          <w:bCs/>
          <w:color w:val="000000" w:themeColor="text1"/>
          <w:sz w:val="48"/>
          <w:szCs w:val="48"/>
          <w:highlight w:val="none"/>
          <w14:textFill>
            <w14:solidFill>
              <w14:schemeClr w14:val="tx1"/>
            </w14:solidFill>
          </w14:textFill>
        </w:rPr>
        <w:t>评分表</w:t>
      </w:r>
    </w:p>
    <w:p>
      <w:pPr>
        <w:keepNext w:val="0"/>
        <w:keepLines w:val="0"/>
        <w:pageBreakBefore w:val="0"/>
        <w:kinsoku/>
        <w:topLinePunct w:val="0"/>
        <w:bidi w:val="0"/>
        <w:spacing w:line="50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分值权重：</w:t>
      </w:r>
    </w:p>
    <w:tbl>
      <w:tblPr>
        <w:tblStyle w:val="14"/>
        <w:tblW w:w="87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8"/>
        <w:gridCol w:w="2263"/>
        <w:gridCol w:w="2062"/>
        <w:gridCol w:w="2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 w:type="dxa"/>
          <w:trHeight w:val="498" w:hRule="atLeast"/>
        </w:trPr>
        <w:tc>
          <w:tcPr>
            <w:tcW w:w="2318" w:type="dxa"/>
            <w:shd w:val="clear" w:color="auto" w:fill="auto"/>
            <w:vAlign w:val="center"/>
          </w:tcPr>
          <w:p>
            <w:pPr>
              <w:widowControl/>
              <w:spacing w:line="36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评分项目</w:t>
            </w:r>
          </w:p>
        </w:tc>
        <w:tc>
          <w:tcPr>
            <w:tcW w:w="2263" w:type="dxa"/>
            <w:shd w:val="clear" w:color="auto" w:fill="auto"/>
            <w:vAlign w:val="center"/>
          </w:tcPr>
          <w:p>
            <w:pPr>
              <w:widowControl/>
              <w:spacing w:line="36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技术商务评分</w:t>
            </w:r>
          </w:p>
        </w:tc>
        <w:tc>
          <w:tcPr>
            <w:tcW w:w="2062" w:type="dxa"/>
            <w:shd w:val="clear" w:color="auto" w:fill="auto"/>
            <w:vAlign w:val="center"/>
          </w:tcPr>
          <w:p>
            <w:pPr>
              <w:widowControl/>
              <w:spacing w:line="36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价格评分</w:t>
            </w:r>
          </w:p>
        </w:tc>
        <w:tc>
          <w:tcPr>
            <w:tcW w:w="2080" w:type="dxa"/>
            <w:shd w:val="clear" w:color="auto" w:fill="auto"/>
            <w:vAlign w:val="center"/>
          </w:tcPr>
          <w:p>
            <w:pPr>
              <w:widowControl/>
              <w:spacing w:line="36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 w:type="dxa"/>
          <w:trHeight w:val="433" w:hRule="atLeast"/>
        </w:trPr>
        <w:tc>
          <w:tcPr>
            <w:tcW w:w="2318" w:type="dxa"/>
            <w:shd w:val="clear" w:color="auto" w:fill="auto"/>
            <w:vAlign w:val="center"/>
          </w:tcPr>
          <w:p>
            <w:pPr>
              <w:widowControl/>
              <w:spacing w:line="36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分值</w:t>
            </w:r>
          </w:p>
        </w:tc>
        <w:tc>
          <w:tcPr>
            <w:tcW w:w="2263" w:type="dxa"/>
            <w:shd w:val="clear" w:color="auto" w:fill="auto"/>
            <w:vAlign w:val="center"/>
          </w:tcPr>
          <w:p>
            <w:pPr>
              <w:widowControl/>
              <w:spacing w:line="36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90分</w:t>
            </w:r>
          </w:p>
        </w:tc>
        <w:tc>
          <w:tcPr>
            <w:tcW w:w="2062" w:type="dxa"/>
            <w:shd w:val="clear" w:color="auto" w:fill="auto"/>
            <w:vAlign w:val="center"/>
          </w:tcPr>
          <w:p>
            <w:pPr>
              <w:widowControl/>
              <w:spacing w:line="36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10分</w:t>
            </w:r>
          </w:p>
        </w:tc>
        <w:tc>
          <w:tcPr>
            <w:tcW w:w="2080" w:type="dxa"/>
            <w:shd w:val="clear" w:color="auto" w:fill="auto"/>
            <w:vAlign w:val="center"/>
          </w:tcPr>
          <w:p>
            <w:pPr>
              <w:widowControl/>
              <w:spacing w:line="36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100分</w:t>
            </w:r>
          </w:p>
        </w:tc>
      </w:tr>
    </w:tbl>
    <w:p>
      <w:pPr>
        <w:pStyle w:val="2"/>
        <w:rPr>
          <w:rFonts w:hint="eastAsia"/>
        </w:rPr>
      </w:pPr>
    </w:p>
    <w:p>
      <w:pPr>
        <w:pStyle w:val="19"/>
        <w:rPr>
          <w:rFonts w:hint="eastAsia"/>
          <w:lang w:val="en-US" w:eastAsia="zh-CN"/>
        </w:rPr>
      </w:pPr>
    </w:p>
    <w:p>
      <w:pPr>
        <w:spacing w:line="440" w:lineRule="exact"/>
        <w:rPr>
          <w:rFonts w:ascii="仿宋" w:hAnsi="仿宋" w:eastAsia="仿宋" w:cs="仿宋"/>
          <w:color w:val="000000"/>
          <w:sz w:val="24"/>
        </w:rPr>
      </w:pPr>
      <w:r>
        <w:rPr>
          <w:rFonts w:hint="eastAsia" w:ascii="仿宋" w:hAnsi="仿宋" w:eastAsia="仿宋" w:cs="仿宋"/>
          <w:color w:val="000000"/>
          <w:sz w:val="24"/>
          <w:lang w:val="en-US" w:eastAsia="zh-CN"/>
        </w:rPr>
        <w:t>技术</w:t>
      </w:r>
      <w:r>
        <w:rPr>
          <w:rFonts w:hint="eastAsia" w:ascii="仿宋" w:hAnsi="仿宋" w:eastAsia="仿宋" w:cs="仿宋"/>
          <w:color w:val="000000"/>
          <w:sz w:val="24"/>
        </w:rPr>
        <w:t>商务评审：</w:t>
      </w:r>
    </w:p>
    <w:tbl>
      <w:tblPr>
        <w:tblStyle w:val="14"/>
        <w:tblW w:w="8742"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16"/>
        <w:gridCol w:w="1076"/>
        <w:gridCol w:w="700"/>
        <w:gridCol w:w="5513"/>
        <w:gridCol w:w="937"/>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78" w:hRule="atLeast"/>
          <w:tblHeader/>
          <w:jc w:val="center"/>
        </w:trPr>
        <w:tc>
          <w:tcPr>
            <w:tcW w:w="516" w:type="dxa"/>
            <w:shd w:val="clear" w:color="auto" w:fill="D9D9D9"/>
            <w:vAlign w:val="center"/>
          </w:tcPr>
          <w:p>
            <w:pPr>
              <w:jc w:val="center"/>
              <w:rPr>
                <w:rFonts w:hint="eastAsia" w:ascii="仿宋" w:hAnsi="仿宋" w:eastAsia="仿宋" w:cs="仿宋"/>
                <w:b/>
                <w:color w:val="000000"/>
                <w:sz w:val="24"/>
                <w:shd w:val="clear" w:color="FFFFFF" w:fill="D9D9D9"/>
              </w:rPr>
            </w:pPr>
            <w:r>
              <w:rPr>
                <w:rFonts w:hint="eastAsia" w:ascii="仿宋" w:hAnsi="仿宋" w:eastAsia="仿宋" w:cs="仿宋"/>
                <w:b/>
                <w:color w:val="000000"/>
                <w:sz w:val="24"/>
                <w:shd w:val="clear" w:color="FFFFFF" w:fill="D9D9D9"/>
              </w:rPr>
              <w:t>序号</w:t>
            </w:r>
          </w:p>
        </w:tc>
        <w:tc>
          <w:tcPr>
            <w:tcW w:w="1076" w:type="dxa"/>
            <w:shd w:val="clear" w:color="auto" w:fill="D9D9D9"/>
            <w:vAlign w:val="center"/>
          </w:tcPr>
          <w:p>
            <w:pPr>
              <w:jc w:val="center"/>
              <w:rPr>
                <w:rFonts w:hint="eastAsia" w:ascii="仿宋" w:hAnsi="仿宋" w:eastAsia="仿宋" w:cs="仿宋"/>
                <w:b/>
                <w:color w:val="000000"/>
                <w:sz w:val="24"/>
                <w:shd w:val="clear" w:color="FFFFFF" w:fill="D9D9D9"/>
              </w:rPr>
            </w:pPr>
            <w:r>
              <w:rPr>
                <w:rFonts w:hint="eastAsia" w:ascii="仿宋" w:hAnsi="仿宋" w:eastAsia="仿宋" w:cs="仿宋"/>
                <w:b/>
                <w:color w:val="000000"/>
                <w:sz w:val="24"/>
                <w:shd w:val="clear" w:color="FFFFFF" w:fill="D9D9D9"/>
              </w:rPr>
              <w:t>评审项目</w:t>
            </w:r>
          </w:p>
        </w:tc>
        <w:tc>
          <w:tcPr>
            <w:tcW w:w="700" w:type="dxa"/>
            <w:shd w:val="clear" w:color="auto" w:fill="D9D9D9"/>
            <w:vAlign w:val="center"/>
          </w:tcPr>
          <w:p>
            <w:pPr>
              <w:jc w:val="center"/>
              <w:rPr>
                <w:rFonts w:hint="eastAsia" w:ascii="仿宋" w:hAnsi="仿宋" w:eastAsia="仿宋" w:cs="仿宋"/>
                <w:b/>
                <w:color w:val="000000"/>
                <w:sz w:val="24"/>
                <w:shd w:val="clear" w:color="FFFFFF" w:fill="D9D9D9"/>
              </w:rPr>
            </w:pPr>
            <w:r>
              <w:rPr>
                <w:rFonts w:hint="eastAsia" w:ascii="仿宋" w:hAnsi="仿宋" w:eastAsia="仿宋" w:cs="仿宋"/>
                <w:b/>
                <w:color w:val="000000"/>
                <w:sz w:val="24"/>
                <w:shd w:val="clear" w:color="FFFFFF" w:fill="D9D9D9"/>
              </w:rPr>
              <w:t>分配分数</w:t>
            </w:r>
          </w:p>
        </w:tc>
        <w:tc>
          <w:tcPr>
            <w:tcW w:w="5513" w:type="dxa"/>
            <w:shd w:val="clear" w:color="auto" w:fill="D9D9D9"/>
            <w:vAlign w:val="center"/>
          </w:tcPr>
          <w:p>
            <w:pPr>
              <w:jc w:val="center"/>
              <w:rPr>
                <w:rFonts w:hint="eastAsia" w:ascii="仿宋" w:hAnsi="仿宋" w:eastAsia="仿宋" w:cs="仿宋"/>
                <w:b/>
                <w:color w:val="000000"/>
                <w:sz w:val="24"/>
                <w:shd w:val="clear" w:color="FFFFFF" w:fill="D9D9D9"/>
              </w:rPr>
            </w:pPr>
            <w:r>
              <w:rPr>
                <w:rFonts w:hint="eastAsia" w:ascii="仿宋" w:hAnsi="仿宋" w:eastAsia="仿宋" w:cs="仿宋"/>
                <w:b/>
                <w:color w:val="000000"/>
                <w:sz w:val="24"/>
                <w:shd w:val="clear" w:color="FFFFFF" w:fill="D9D9D9"/>
              </w:rPr>
              <w:t>评议内容</w:t>
            </w:r>
          </w:p>
        </w:tc>
        <w:tc>
          <w:tcPr>
            <w:tcW w:w="937" w:type="dxa"/>
            <w:shd w:val="clear" w:color="auto" w:fill="D9D9D9"/>
            <w:vAlign w:val="center"/>
          </w:tcPr>
          <w:p>
            <w:pPr>
              <w:jc w:val="center"/>
              <w:rPr>
                <w:rFonts w:hint="eastAsia" w:ascii="仿宋" w:hAnsi="仿宋" w:eastAsia="仿宋" w:cs="仿宋"/>
                <w:b/>
                <w:color w:val="000000"/>
                <w:sz w:val="24"/>
                <w:shd w:val="clear" w:color="FFFFFF" w:fill="D9D9D9"/>
              </w:rPr>
            </w:pPr>
            <w:r>
              <w:rPr>
                <w:rFonts w:hint="eastAsia" w:ascii="仿宋" w:hAnsi="仿宋" w:eastAsia="仿宋" w:cs="仿宋"/>
                <w:b/>
                <w:color w:val="000000"/>
                <w:sz w:val="24"/>
                <w:shd w:val="clear" w:color="FFFFFF" w:fill="D9D9D9"/>
                <w:lang w:eastAsia="zh-CN"/>
              </w:rPr>
              <w:t>供应商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27" w:hRule="atLeast"/>
          <w:jc w:val="center"/>
        </w:trPr>
        <w:tc>
          <w:tcPr>
            <w:tcW w:w="516" w:type="dxa"/>
            <w:vAlign w:val="center"/>
          </w:tcPr>
          <w:p>
            <w:pPr>
              <w:jc w:val="center"/>
              <w:rPr>
                <w:rFonts w:hint="eastAsia" w:ascii="仿宋" w:hAnsi="仿宋" w:eastAsia="仿宋" w:cs="仿宋"/>
                <w:color w:val="000000"/>
                <w:sz w:val="24"/>
              </w:rPr>
            </w:pPr>
            <w:r>
              <w:rPr>
                <w:rFonts w:hint="eastAsia" w:ascii="仿宋" w:hAnsi="仿宋" w:eastAsia="仿宋" w:cs="仿宋"/>
                <w:color w:val="000000"/>
                <w:sz w:val="24"/>
              </w:rPr>
              <w:t>1</w:t>
            </w:r>
          </w:p>
        </w:tc>
        <w:tc>
          <w:tcPr>
            <w:tcW w:w="1076" w:type="dxa"/>
            <w:vAlign w:val="center"/>
          </w:tcPr>
          <w:p>
            <w:pPr>
              <w:jc w:val="center"/>
              <w:rPr>
                <w:rFonts w:hint="eastAsia" w:ascii="仿宋" w:hAnsi="仿宋" w:eastAsia="仿宋" w:cs="仿宋"/>
                <w:color w:val="000000"/>
                <w:sz w:val="24"/>
              </w:rPr>
            </w:pPr>
            <w:r>
              <w:rPr>
                <w:rFonts w:hint="eastAsia" w:ascii="仿宋" w:hAnsi="仿宋" w:eastAsia="仿宋" w:cs="仿宋"/>
                <w:color w:val="000000"/>
                <w:sz w:val="24"/>
              </w:rPr>
              <w:t>商务技术</w:t>
            </w:r>
          </w:p>
          <w:p>
            <w:pPr>
              <w:jc w:val="center"/>
              <w:rPr>
                <w:rFonts w:hint="eastAsia" w:ascii="仿宋" w:hAnsi="仿宋" w:eastAsia="仿宋" w:cs="仿宋"/>
                <w:color w:val="000000"/>
                <w:sz w:val="24"/>
              </w:rPr>
            </w:pPr>
            <w:r>
              <w:rPr>
                <w:rFonts w:hint="eastAsia" w:ascii="仿宋" w:hAnsi="仿宋" w:eastAsia="仿宋" w:cs="仿宋"/>
                <w:color w:val="000000"/>
                <w:sz w:val="24"/>
              </w:rPr>
              <w:t>响应</w:t>
            </w:r>
          </w:p>
        </w:tc>
        <w:tc>
          <w:tcPr>
            <w:tcW w:w="700" w:type="dxa"/>
            <w:vAlign w:val="center"/>
          </w:tcPr>
          <w:p>
            <w:pPr>
              <w:jc w:val="center"/>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6</w:t>
            </w:r>
          </w:p>
        </w:tc>
        <w:tc>
          <w:tcPr>
            <w:tcW w:w="5513" w:type="dxa"/>
            <w:tcBorders>
              <w:top w:val="single" w:color="auto" w:sz="4" w:space="0"/>
              <w:bottom w:val="single" w:color="auto" w:sz="4" w:space="0"/>
            </w:tcBorders>
            <w:vAlign w:val="center"/>
          </w:tcPr>
          <w:p>
            <w:pPr>
              <w:jc w:val="left"/>
              <w:rPr>
                <w:rFonts w:hint="eastAsia" w:ascii="仿宋" w:hAnsi="仿宋" w:eastAsia="仿宋" w:cs="仿宋"/>
                <w:color w:val="000000"/>
                <w:sz w:val="24"/>
              </w:rPr>
            </w:pPr>
            <w:r>
              <w:rPr>
                <w:rFonts w:hint="eastAsia" w:ascii="仿宋" w:hAnsi="仿宋" w:eastAsia="仿宋" w:cs="仿宋"/>
                <w:color w:val="000000"/>
                <w:sz w:val="24"/>
              </w:rPr>
              <w:t>根据响应文件是否完整，响应内容是否全面、具体进行评审。</w:t>
            </w:r>
          </w:p>
          <w:p>
            <w:pPr>
              <w:jc w:val="left"/>
              <w:rPr>
                <w:rFonts w:hint="eastAsia" w:ascii="仿宋" w:hAnsi="仿宋" w:eastAsia="仿宋" w:cs="仿宋"/>
                <w:color w:val="000000"/>
                <w:sz w:val="24"/>
              </w:rPr>
            </w:pPr>
            <w:r>
              <w:rPr>
                <w:rFonts w:hint="eastAsia" w:ascii="仿宋" w:hAnsi="仿宋" w:eastAsia="仿宋" w:cs="仿宋"/>
                <w:color w:val="000000"/>
                <w:sz w:val="24"/>
              </w:rPr>
              <w:t>1、完全响应无偏离得</w:t>
            </w:r>
            <w:r>
              <w:rPr>
                <w:rFonts w:hint="eastAsia" w:ascii="仿宋" w:hAnsi="仿宋" w:eastAsia="仿宋" w:cs="仿宋"/>
                <w:color w:val="000000"/>
                <w:sz w:val="24"/>
                <w:lang w:val="en-US" w:eastAsia="zh-CN"/>
              </w:rPr>
              <w:t>6</w:t>
            </w:r>
            <w:r>
              <w:rPr>
                <w:rFonts w:hint="eastAsia" w:ascii="仿宋" w:hAnsi="仿宋" w:eastAsia="仿宋" w:cs="仿宋"/>
                <w:color w:val="000000"/>
                <w:sz w:val="24"/>
              </w:rPr>
              <w:t>分；</w:t>
            </w:r>
          </w:p>
          <w:p>
            <w:pPr>
              <w:jc w:val="left"/>
              <w:rPr>
                <w:rFonts w:hint="eastAsia" w:ascii="仿宋" w:hAnsi="仿宋" w:eastAsia="仿宋" w:cs="仿宋"/>
                <w:color w:val="000000"/>
                <w:sz w:val="24"/>
              </w:rPr>
            </w:pPr>
            <w:r>
              <w:rPr>
                <w:rFonts w:hint="eastAsia" w:ascii="仿宋" w:hAnsi="仿宋" w:eastAsia="仿宋" w:cs="仿宋"/>
                <w:color w:val="000000"/>
                <w:sz w:val="24"/>
              </w:rPr>
              <w:t>2、部分响应或部分不满足得</w:t>
            </w:r>
            <w:r>
              <w:rPr>
                <w:rFonts w:hint="eastAsia" w:ascii="仿宋" w:hAnsi="仿宋" w:eastAsia="仿宋" w:cs="仿宋"/>
                <w:color w:val="000000"/>
                <w:sz w:val="24"/>
                <w:lang w:val="en-US" w:eastAsia="zh-CN"/>
              </w:rPr>
              <w:t>3</w:t>
            </w:r>
            <w:r>
              <w:rPr>
                <w:rFonts w:hint="eastAsia" w:ascii="仿宋" w:hAnsi="仿宋" w:eastAsia="仿宋" w:cs="仿宋"/>
                <w:color w:val="000000"/>
                <w:sz w:val="24"/>
              </w:rPr>
              <w:t>分；</w:t>
            </w:r>
          </w:p>
          <w:p>
            <w:pPr>
              <w:jc w:val="left"/>
              <w:rPr>
                <w:rFonts w:hint="eastAsia" w:ascii="仿宋" w:hAnsi="仿宋" w:eastAsia="仿宋" w:cs="仿宋"/>
                <w:color w:val="000000"/>
                <w:sz w:val="24"/>
              </w:rPr>
            </w:pPr>
            <w:r>
              <w:rPr>
                <w:rFonts w:hint="eastAsia" w:ascii="仿宋" w:hAnsi="仿宋" w:eastAsia="仿宋" w:cs="仿宋"/>
                <w:color w:val="000000"/>
                <w:sz w:val="24"/>
              </w:rPr>
              <w:t>3、不响应得0分。</w:t>
            </w:r>
          </w:p>
        </w:tc>
        <w:tc>
          <w:tcPr>
            <w:tcW w:w="937" w:type="dxa"/>
            <w:tcBorders>
              <w:top w:val="single" w:color="auto" w:sz="4" w:space="0"/>
              <w:bottom w:val="single" w:color="auto" w:sz="4" w:space="0"/>
            </w:tcBorders>
            <w:vAlign w:val="center"/>
          </w:tcPr>
          <w:p>
            <w:pPr>
              <w:jc w:val="center"/>
              <w:rPr>
                <w:rFonts w:hint="eastAsia" w:ascii="仿宋" w:hAnsi="仿宋" w:eastAsia="仿宋" w:cs="仿宋"/>
                <w:color w:val="00000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930" w:hRule="atLeast"/>
          <w:jc w:val="center"/>
        </w:trPr>
        <w:tc>
          <w:tcPr>
            <w:tcW w:w="516" w:type="dxa"/>
            <w:vAlign w:val="center"/>
          </w:tcPr>
          <w:p>
            <w:pPr>
              <w:jc w:val="center"/>
              <w:rPr>
                <w:rFonts w:hint="eastAsia" w:ascii="仿宋" w:hAnsi="仿宋" w:eastAsia="仿宋" w:cs="仿宋"/>
                <w:color w:val="000000"/>
                <w:sz w:val="24"/>
              </w:rPr>
            </w:pPr>
            <w:r>
              <w:rPr>
                <w:rFonts w:hint="eastAsia" w:ascii="仿宋" w:hAnsi="仿宋" w:eastAsia="仿宋" w:cs="仿宋"/>
                <w:color w:val="000000"/>
                <w:sz w:val="24"/>
              </w:rPr>
              <w:t>2</w:t>
            </w:r>
          </w:p>
        </w:tc>
        <w:tc>
          <w:tcPr>
            <w:tcW w:w="1076" w:type="dxa"/>
            <w:vAlign w:val="center"/>
          </w:tcPr>
          <w:p>
            <w:pPr>
              <w:jc w:val="center"/>
              <w:rPr>
                <w:rFonts w:hint="eastAsia" w:ascii="仿宋" w:hAnsi="仿宋" w:eastAsia="仿宋" w:cs="仿宋"/>
                <w:color w:val="000000"/>
                <w:sz w:val="24"/>
              </w:rPr>
            </w:pPr>
            <w:r>
              <w:rPr>
                <w:rFonts w:hint="eastAsia" w:ascii="仿宋" w:hAnsi="仿宋" w:eastAsia="仿宋" w:cs="仿宋"/>
                <w:color w:val="000000"/>
                <w:sz w:val="24"/>
              </w:rPr>
              <w:t>企业资信</w:t>
            </w:r>
          </w:p>
        </w:tc>
        <w:tc>
          <w:tcPr>
            <w:tcW w:w="700" w:type="dxa"/>
            <w:vAlign w:val="center"/>
          </w:tcPr>
          <w:p>
            <w:pPr>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10</w:t>
            </w:r>
          </w:p>
        </w:tc>
        <w:tc>
          <w:tcPr>
            <w:tcW w:w="5513" w:type="dxa"/>
            <w:vAlign w:val="center"/>
          </w:tcPr>
          <w:p>
            <w:pPr>
              <w:jc w:val="left"/>
              <w:rPr>
                <w:rFonts w:hint="eastAsia" w:ascii="仿宋" w:hAnsi="仿宋" w:eastAsia="仿宋" w:cs="仿宋"/>
                <w:color w:val="000000"/>
                <w:sz w:val="24"/>
              </w:rPr>
            </w:pPr>
            <w:r>
              <w:rPr>
                <w:rFonts w:hint="eastAsia" w:ascii="仿宋" w:hAnsi="仿宋" w:eastAsia="仿宋" w:cs="仿宋"/>
                <w:color w:val="000000"/>
                <w:sz w:val="24"/>
              </w:rPr>
              <w:t>根据供应商的</w:t>
            </w:r>
            <w:r>
              <w:rPr>
                <w:rFonts w:hint="eastAsia" w:ascii="仿宋" w:hAnsi="仿宋" w:eastAsia="仿宋" w:cs="仿宋"/>
                <w:color w:val="000000"/>
                <w:sz w:val="24"/>
                <w:lang w:val="en-US" w:eastAsia="zh-CN"/>
              </w:rPr>
              <w:t>企业资信</w:t>
            </w:r>
            <w:r>
              <w:rPr>
                <w:rFonts w:hint="eastAsia" w:ascii="仿宋" w:hAnsi="仿宋" w:eastAsia="仿宋" w:cs="仿宋"/>
                <w:color w:val="000000"/>
                <w:sz w:val="24"/>
              </w:rPr>
              <w:t>进行评审。</w:t>
            </w:r>
          </w:p>
          <w:p>
            <w:pPr>
              <w:jc w:val="left"/>
              <w:rPr>
                <w:rFonts w:hint="eastAsia" w:ascii="仿宋" w:hAnsi="仿宋" w:eastAsia="仿宋" w:cs="仿宋"/>
                <w:color w:val="000000"/>
                <w:sz w:val="24"/>
              </w:rPr>
            </w:pPr>
            <w:r>
              <w:rPr>
                <w:rFonts w:hint="eastAsia" w:ascii="仿宋" w:hAnsi="仿宋" w:eastAsia="仿宋" w:cs="仿宋"/>
                <w:color w:val="000000"/>
                <w:sz w:val="24"/>
              </w:rPr>
              <w:t>1、获得环境管理体系认证证书、职业健康安全管理体系认证证书、质量管理体系认证证书，每获得一个证</w:t>
            </w:r>
            <w:r>
              <w:rPr>
                <w:rFonts w:hint="eastAsia" w:ascii="仿宋" w:hAnsi="仿宋" w:eastAsia="仿宋" w:cs="仿宋"/>
                <w:color w:val="000000"/>
                <w:sz w:val="24"/>
                <w:lang w:val="en-US" w:eastAsia="zh-CN"/>
              </w:rPr>
              <w:t>（有效期内）得</w:t>
            </w:r>
            <w:r>
              <w:rPr>
                <w:rFonts w:hint="eastAsia" w:ascii="仿宋" w:hAnsi="仿宋" w:eastAsia="仿宋" w:cs="仿宋"/>
                <w:color w:val="000000"/>
                <w:sz w:val="24"/>
              </w:rPr>
              <w:t>1分，总共得3分；</w:t>
            </w:r>
          </w:p>
          <w:p>
            <w:pPr>
              <w:jc w:val="left"/>
              <w:rPr>
                <w:rFonts w:hint="eastAsia" w:ascii="仿宋" w:hAnsi="仿宋" w:eastAsia="仿宋" w:cs="仿宋"/>
                <w:color w:val="000000"/>
                <w:sz w:val="24"/>
              </w:rPr>
            </w:pPr>
            <w:r>
              <w:rPr>
                <w:rFonts w:hint="eastAsia" w:ascii="仿宋" w:hAnsi="仿宋" w:eastAsia="仿宋" w:cs="仿宋"/>
                <w:color w:val="000000"/>
                <w:sz w:val="24"/>
              </w:rPr>
              <w:t>2、获得安全生产许可证且在有效期内得</w:t>
            </w:r>
            <w:r>
              <w:rPr>
                <w:rFonts w:hint="eastAsia" w:ascii="仿宋" w:hAnsi="仿宋" w:eastAsia="仿宋" w:cs="仿宋"/>
                <w:color w:val="000000"/>
                <w:sz w:val="24"/>
                <w:lang w:val="en-US" w:eastAsia="zh-CN"/>
              </w:rPr>
              <w:t>3</w:t>
            </w:r>
            <w:r>
              <w:rPr>
                <w:rFonts w:hint="eastAsia" w:ascii="仿宋" w:hAnsi="仿宋" w:eastAsia="仿宋" w:cs="仿宋"/>
                <w:color w:val="000000"/>
                <w:sz w:val="24"/>
              </w:rPr>
              <w:t>分；</w:t>
            </w:r>
          </w:p>
          <w:p>
            <w:pPr>
              <w:jc w:val="left"/>
              <w:rPr>
                <w:rFonts w:hint="eastAsia" w:ascii="仿宋" w:hAnsi="仿宋" w:eastAsia="仿宋" w:cs="仿宋"/>
                <w:color w:val="000000"/>
                <w:sz w:val="24"/>
              </w:rPr>
            </w:pPr>
            <w:r>
              <w:rPr>
                <w:rFonts w:hint="eastAsia" w:ascii="仿宋" w:hAnsi="仿宋" w:eastAsia="仿宋" w:cs="仿宋"/>
                <w:color w:val="000000"/>
                <w:sz w:val="24"/>
              </w:rPr>
              <w:t>3、获得行政主管部门颁发的环保工程专业承包叁级或以上资质得</w:t>
            </w:r>
            <w:r>
              <w:rPr>
                <w:rFonts w:hint="eastAsia" w:ascii="仿宋" w:hAnsi="仿宋" w:eastAsia="仿宋" w:cs="仿宋"/>
                <w:color w:val="000000"/>
                <w:sz w:val="24"/>
                <w:lang w:val="en-US" w:eastAsia="zh-CN"/>
              </w:rPr>
              <w:t>4</w:t>
            </w:r>
            <w:r>
              <w:rPr>
                <w:rFonts w:hint="eastAsia" w:ascii="仿宋" w:hAnsi="仿宋" w:eastAsia="仿宋" w:cs="仿宋"/>
                <w:color w:val="000000"/>
                <w:sz w:val="24"/>
              </w:rPr>
              <w:t>分；</w:t>
            </w:r>
          </w:p>
          <w:p>
            <w:pPr>
              <w:jc w:val="left"/>
              <w:rPr>
                <w:rFonts w:hint="eastAsia" w:ascii="仿宋" w:hAnsi="仿宋" w:eastAsia="仿宋" w:cs="仿宋"/>
                <w:color w:val="000000"/>
                <w:sz w:val="24"/>
                <w:lang w:val="en-US"/>
              </w:rPr>
            </w:pPr>
            <w:r>
              <w:rPr>
                <w:rFonts w:hint="eastAsia" w:ascii="仿宋" w:hAnsi="仿宋" w:eastAsia="仿宋" w:cs="仿宋"/>
                <w:color w:val="000000"/>
                <w:sz w:val="24"/>
                <w:lang w:val="en-US" w:eastAsia="zh-CN"/>
              </w:rPr>
              <w:t>注：响应文件中须提供以上相关证明材料的复印件并加盖公章。</w:t>
            </w:r>
          </w:p>
        </w:tc>
        <w:tc>
          <w:tcPr>
            <w:tcW w:w="937" w:type="dxa"/>
            <w:vAlign w:val="center"/>
          </w:tcPr>
          <w:p>
            <w:pPr>
              <w:jc w:val="center"/>
              <w:rPr>
                <w:rFonts w:hint="eastAsia" w:ascii="仿宋" w:hAnsi="仿宋" w:eastAsia="仿宋" w:cs="仿宋"/>
                <w:color w:val="00000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993" w:hRule="atLeast"/>
          <w:jc w:val="center"/>
        </w:trPr>
        <w:tc>
          <w:tcPr>
            <w:tcW w:w="516" w:type="dxa"/>
            <w:vAlign w:val="center"/>
          </w:tcPr>
          <w:p>
            <w:pPr>
              <w:jc w:val="center"/>
              <w:rPr>
                <w:rFonts w:hint="eastAsia" w:ascii="仿宋" w:hAnsi="仿宋" w:eastAsia="仿宋" w:cs="仿宋"/>
                <w:color w:val="000000"/>
                <w:sz w:val="24"/>
              </w:rPr>
            </w:pPr>
            <w:r>
              <w:rPr>
                <w:rFonts w:hint="eastAsia" w:ascii="仿宋" w:hAnsi="仿宋" w:eastAsia="仿宋" w:cs="仿宋"/>
                <w:color w:val="000000"/>
                <w:sz w:val="24"/>
              </w:rPr>
              <w:t>3</w:t>
            </w:r>
          </w:p>
        </w:tc>
        <w:tc>
          <w:tcPr>
            <w:tcW w:w="1076" w:type="dxa"/>
            <w:vAlign w:val="center"/>
          </w:tcPr>
          <w:p>
            <w:pPr>
              <w:jc w:val="center"/>
              <w:rPr>
                <w:rFonts w:hint="eastAsia" w:ascii="仿宋" w:hAnsi="仿宋" w:eastAsia="仿宋" w:cs="仿宋"/>
                <w:color w:val="000000"/>
                <w:sz w:val="24"/>
              </w:rPr>
            </w:pPr>
            <w:r>
              <w:rPr>
                <w:rFonts w:hint="eastAsia" w:ascii="仿宋" w:hAnsi="仿宋" w:eastAsia="仿宋" w:cs="仿宋"/>
                <w:color w:val="000000"/>
                <w:sz w:val="24"/>
              </w:rPr>
              <w:t>拟投入本项目人员情况</w:t>
            </w:r>
          </w:p>
        </w:tc>
        <w:tc>
          <w:tcPr>
            <w:tcW w:w="700" w:type="dxa"/>
            <w:vAlign w:val="center"/>
          </w:tcPr>
          <w:p>
            <w:pPr>
              <w:jc w:val="center"/>
              <w:rPr>
                <w:rFonts w:hint="eastAsia" w:ascii="仿宋" w:hAnsi="仿宋" w:eastAsia="仿宋" w:cs="仿宋"/>
                <w:color w:val="000000"/>
                <w:sz w:val="24"/>
              </w:rPr>
            </w:pPr>
            <w:r>
              <w:rPr>
                <w:rFonts w:hint="eastAsia" w:ascii="仿宋" w:hAnsi="仿宋" w:eastAsia="仿宋" w:cs="仿宋"/>
                <w:color w:val="000000"/>
                <w:sz w:val="24"/>
              </w:rPr>
              <w:t>20</w:t>
            </w:r>
          </w:p>
        </w:tc>
        <w:tc>
          <w:tcPr>
            <w:tcW w:w="5513" w:type="dxa"/>
            <w:vAlign w:val="center"/>
          </w:tcPr>
          <w:p>
            <w:pPr>
              <w:jc w:val="left"/>
              <w:rPr>
                <w:rFonts w:hint="eastAsia" w:ascii="仿宋" w:hAnsi="仿宋" w:eastAsia="仿宋" w:cs="仿宋"/>
                <w:color w:val="000000"/>
                <w:sz w:val="24"/>
              </w:rPr>
            </w:pPr>
            <w:r>
              <w:rPr>
                <w:rFonts w:hint="eastAsia" w:ascii="仿宋" w:hAnsi="仿宋" w:eastAsia="仿宋" w:cs="仿宋"/>
                <w:color w:val="000000"/>
                <w:sz w:val="24"/>
              </w:rPr>
              <w:t>根据拟投入本项目人员情况进行评审。</w:t>
            </w:r>
          </w:p>
          <w:p>
            <w:pPr>
              <w:jc w:val="left"/>
              <w:rPr>
                <w:rFonts w:hint="eastAsia" w:ascii="仿宋" w:hAnsi="仿宋" w:eastAsia="仿宋" w:cs="仿宋"/>
                <w:color w:val="000000"/>
                <w:sz w:val="24"/>
              </w:rPr>
            </w:pPr>
            <w:r>
              <w:rPr>
                <w:rFonts w:hint="eastAsia" w:ascii="仿宋" w:hAnsi="仿宋" w:eastAsia="仿宋" w:cs="仿宋"/>
                <w:color w:val="000000"/>
                <w:sz w:val="24"/>
              </w:rPr>
              <w:t>1、拟派项目主管具有生态环境工程</w:t>
            </w:r>
            <w:r>
              <w:rPr>
                <w:rFonts w:hint="eastAsia" w:ascii="仿宋" w:hAnsi="仿宋" w:eastAsia="仿宋" w:cs="仿宋"/>
                <w:color w:val="000000"/>
                <w:sz w:val="24"/>
                <w:lang w:val="en-US" w:eastAsia="zh-CN"/>
              </w:rPr>
              <w:t>类中级或以上职称</w:t>
            </w:r>
            <w:r>
              <w:rPr>
                <w:rFonts w:hint="eastAsia" w:ascii="仿宋" w:hAnsi="仿宋" w:eastAsia="仿宋" w:cs="仿宋"/>
                <w:color w:val="000000"/>
                <w:sz w:val="24"/>
              </w:rPr>
              <w:t>得10分，具有</w:t>
            </w:r>
            <w:r>
              <w:rPr>
                <w:rFonts w:hint="eastAsia" w:ascii="仿宋" w:hAnsi="仿宋" w:eastAsia="仿宋" w:cs="仿宋"/>
                <w:color w:val="000000"/>
                <w:sz w:val="24"/>
                <w:lang w:val="en-US" w:eastAsia="zh-CN"/>
              </w:rPr>
              <w:t>生态环境工程类</w:t>
            </w:r>
            <w:r>
              <w:rPr>
                <w:rFonts w:hint="eastAsia" w:ascii="仿宋" w:hAnsi="仿宋" w:eastAsia="仿宋" w:cs="仿宋"/>
                <w:color w:val="000000"/>
                <w:sz w:val="24"/>
              </w:rPr>
              <w:t>初级职称的得5分</w:t>
            </w:r>
            <w:r>
              <w:rPr>
                <w:rFonts w:hint="eastAsia" w:ascii="仿宋" w:hAnsi="仿宋" w:eastAsia="仿宋" w:cs="仿宋"/>
                <w:color w:val="000000"/>
                <w:sz w:val="24"/>
                <w:lang w:eastAsia="zh-CN"/>
              </w:rPr>
              <w:t>，</w:t>
            </w:r>
            <w:r>
              <w:rPr>
                <w:rFonts w:hint="eastAsia" w:ascii="仿宋" w:hAnsi="仿宋" w:eastAsia="仿宋" w:cs="仿宋"/>
                <w:color w:val="000000"/>
                <w:sz w:val="24"/>
                <w:lang w:val="en-US" w:eastAsia="zh-CN"/>
              </w:rPr>
              <w:t>本项最高得10分</w:t>
            </w:r>
            <w:r>
              <w:rPr>
                <w:rFonts w:hint="eastAsia" w:ascii="仿宋" w:hAnsi="仿宋" w:eastAsia="仿宋" w:cs="仿宋"/>
                <w:color w:val="000000"/>
                <w:sz w:val="24"/>
              </w:rPr>
              <w:t>；</w:t>
            </w:r>
          </w:p>
          <w:p>
            <w:pPr>
              <w:jc w:val="left"/>
              <w:rPr>
                <w:rFonts w:hint="eastAsia" w:ascii="仿宋" w:hAnsi="仿宋" w:eastAsia="仿宋" w:cs="仿宋"/>
                <w:color w:val="000000"/>
                <w:sz w:val="24"/>
                <w:lang w:eastAsia="zh-CN"/>
              </w:rPr>
            </w:pPr>
            <w:r>
              <w:rPr>
                <w:rFonts w:hint="eastAsia" w:ascii="仿宋" w:hAnsi="仿宋" w:eastAsia="仿宋" w:cs="仿宋"/>
                <w:color w:val="000000"/>
                <w:sz w:val="24"/>
              </w:rPr>
              <w:t>2、</w:t>
            </w:r>
            <w:r>
              <w:rPr>
                <w:rFonts w:hint="eastAsia" w:ascii="仿宋" w:hAnsi="仿宋" w:eastAsia="仿宋" w:cs="仿宋"/>
                <w:color w:val="000000"/>
                <w:sz w:val="24"/>
                <w:lang w:eastAsia="zh-CN"/>
              </w:rPr>
              <w:t>拟派公司参与运营指导人员具有生态环境工程</w:t>
            </w:r>
            <w:r>
              <w:rPr>
                <w:rFonts w:hint="eastAsia" w:ascii="仿宋" w:hAnsi="仿宋" w:eastAsia="仿宋" w:cs="仿宋"/>
                <w:color w:val="000000"/>
                <w:sz w:val="24"/>
                <w:lang w:val="en-US" w:eastAsia="zh-CN"/>
              </w:rPr>
              <w:t>类</w:t>
            </w:r>
            <w:r>
              <w:rPr>
                <w:rFonts w:hint="eastAsia" w:ascii="仿宋" w:hAnsi="仿宋" w:eastAsia="仿宋" w:cs="仿宋"/>
                <w:color w:val="000000"/>
                <w:sz w:val="24"/>
                <w:lang w:eastAsia="zh-CN"/>
              </w:rPr>
              <w:t>专业或给排水</w:t>
            </w:r>
            <w:r>
              <w:rPr>
                <w:rFonts w:hint="eastAsia" w:ascii="仿宋" w:hAnsi="仿宋" w:eastAsia="仿宋" w:cs="仿宋"/>
                <w:color w:val="000000"/>
                <w:sz w:val="24"/>
                <w:lang w:val="en-US" w:eastAsia="zh-CN"/>
              </w:rPr>
              <w:t>类</w:t>
            </w:r>
            <w:r>
              <w:rPr>
                <w:rFonts w:hint="eastAsia" w:ascii="仿宋" w:hAnsi="仿宋" w:eastAsia="仿宋" w:cs="仿宋"/>
                <w:color w:val="000000"/>
                <w:sz w:val="24"/>
                <w:lang w:eastAsia="zh-CN"/>
              </w:rPr>
              <w:t>专业</w:t>
            </w:r>
            <w:r>
              <w:rPr>
                <w:rFonts w:hint="eastAsia" w:ascii="仿宋" w:hAnsi="仿宋" w:eastAsia="仿宋" w:cs="仿宋"/>
                <w:color w:val="000000"/>
                <w:sz w:val="24"/>
                <w:lang w:val="en-US" w:eastAsia="zh-CN"/>
              </w:rPr>
              <w:t>高级或以上职称</w:t>
            </w:r>
            <w:r>
              <w:rPr>
                <w:rFonts w:hint="eastAsia" w:ascii="仿宋" w:hAnsi="仿宋" w:eastAsia="仿宋" w:cs="仿宋"/>
                <w:color w:val="000000"/>
                <w:sz w:val="24"/>
                <w:lang w:eastAsia="zh-CN"/>
              </w:rPr>
              <w:t>得10分，没有不得分。</w:t>
            </w:r>
          </w:p>
          <w:p>
            <w:pPr>
              <w:jc w:val="left"/>
              <w:rPr>
                <w:rFonts w:hint="eastAsia" w:ascii="仿宋" w:hAnsi="仿宋" w:eastAsia="仿宋" w:cs="仿宋"/>
                <w:color w:val="000000"/>
                <w:sz w:val="24"/>
              </w:rPr>
            </w:pPr>
            <w:r>
              <w:rPr>
                <w:rFonts w:hint="eastAsia" w:ascii="仿宋" w:hAnsi="仿宋" w:eastAsia="仿宋" w:cs="仿宋"/>
                <w:color w:val="000000"/>
                <w:sz w:val="24"/>
                <w:lang w:eastAsia="zh-CN"/>
              </w:rPr>
              <w:t>注：响应供应商在响应文件中提供职称证、为其购买磋商时间截止前近半年来任意</w:t>
            </w:r>
            <w:r>
              <w:rPr>
                <w:rFonts w:hint="eastAsia" w:ascii="仿宋" w:hAnsi="仿宋" w:eastAsia="仿宋" w:cs="仿宋"/>
                <w:color w:val="000000"/>
                <w:sz w:val="24"/>
                <w:lang w:val="en-US" w:eastAsia="zh-CN"/>
              </w:rPr>
              <w:t>连续</w:t>
            </w:r>
            <w:r>
              <w:rPr>
                <w:rFonts w:hint="eastAsia" w:ascii="仿宋" w:hAnsi="仿宋" w:eastAsia="仿宋" w:cs="仿宋"/>
                <w:color w:val="000000"/>
                <w:sz w:val="24"/>
                <w:lang w:eastAsia="zh-CN"/>
              </w:rPr>
              <w:t>三个月的社保证明，未提供的不得分</w:t>
            </w:r>
          </w:p>
        </w:tc>
        <w:tc>
          <w:tcPr>
            <w:tcW w:w="937" w:type="dxa"/>
            <w:vAlign w:val="center"/>
          </w:tcPr>
          <w:p>
            <w:pPr>
              <w:jc w:val="center"/>
              <w:rPr>
                <w:rFonts w:hint="eastAsia" w:ascii="仿宋" w:hAnsi="仿宋" w:eastAsia="仿宋" w:cs="仿宋"/>
                <w:color w:val="00000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33" w:hRule="atLeast"/>
          <w:jc w:val="center"/>
        </w:trPr>
        <w:tc>
          <w:tcPr>
            <w:tcW w:w="516" w:type="dxa"/>
            <w:vAlign w:val="center"/>
          </w:tcPr>
          <w:p>
            <w:pPr>
              <w:jc w:val="center"/>
              <w:rPr>
                <w:rFonts w:hint="eastAsia" w:ascii="仿宋" w:hAnsi="仿宋" w:eastAsia="仿宋" w:cs="仿宋"/>
                <w:color w:val="000000"/>
                <w:sz w:val="24"/>
              </w:rPr>
            </w:pPr>
            <w:r>
              <w:rPr>
                <w:rFonts w:hint="eastAsia" w:ascii="仿宋" w:hAnsi="仿宋" w:eastAsia="仿宋" w:cs="仿宋"/>
                <w:color w:val="000000"/>
                <w:sz w:val="24"/>
              </w:rPr>
              <w:t>4</w:t>
            </w:r>
          </w:p>
        </w:tc>
        <w:tc>
          <w:tcPr>
            <w:tcW w:w="1076" w:type="dxa"/>
            <w:vAlign w:val="center"/>
          </w:tcPr>
          <w:p>
            <w:pPr>
              <w:jc w:val="center"/>
              <w:rPr>
                <w:rFonts w:hint="eastAsia" w:ascii="仿宋" w:hAnsi="仿宋" w:eastAsia="仿宋" w:cs="仿宋"/>
                <w:color w:val="000000"/>
                <w:sz w:val="24"/>
              </w:rPr>
            </w:pPr>
            <w:r>
              <w:rPr>
                <w:rFonts w:hint="eastAsia" w:ascii="仿宋" w:hAnsi="仿宋" w:eastAsia="仿宋" w:cs="仿宋"/>
                <w:color w:val="000000"/>
                <w:sz w:val="24"/>
              </w:rPr>
              <w:t>业绩情况</w:t>
            </w:r>
          </w:p>
        </w:tc>
        <w:tc>
          <w:tcPr>
            <w:tcW w:w="700" w:type="dxa"/>
            <w:vAlign w:val="center"/>
          </w:tcPr>
          <w:p>
            <w:pPr>
              <w:jc w:val="center"/>
              <w:rPr>
                <w:rFonts w:hint="eastAsia" w:ascii="仿宋" w:hAnsi="仿宋" w:eastAsia="仿宋" w:cs="仿宋"/>
                <w:color w:val="000000"/>
                <w:sz w:val="24"/>
                <w:lang w:val="en-US" w:eastAsia="zh-CN"/>
              </w:rPr>
            </w:pPr>
            <w:r>
              <w:rPr>
                <w:rFonts w:hint="eastAsia" w:ascii="仿宋" w:hAnsi="仿宋" w:eastAsia="仿宋" w:cs="仿宋"/>
                <w:color w:val="000000"/>
                <w:sz w:val="24"/>
              </w:rPr>
              <w:t>2</w:t>
            </w:r>
            <w:r>
              <w:rPr>
                <w:rFonts w:hint="eastAsia" w:ascii="仿宋" w:hAnsi="仿宋" w:eastAsia="仿宋" w:cs="仿宋"/>
                <w:color w:val="000000"/>
                <w:sz w:val="24"/>
                <w:lang w:val="en-US" w:eastAsia="zh-CN"/>
              </w:rPr>
              <w:t>4</w:t>
            </w:r>
          </w:p>
        </w:tc>
        <w:tc>
          <w:tcPr>
            <w:tcW w:w="5513" w:type="dxa"/>
            <w:vAlign w:val="center"/>
          </w:tcPr>
          <w:p>
            <w:pPr>
              <w:jc w:val="left"/>
              <w:rPr>
                <w:rFonts w:hint="eastAsia" w:ascii="仿宋" w:hAnsi="仿宋" w:eastAsia="仿宋" w:cs="仿宋"/>
                <w:color w:val="000000"/>
                <w:sz w:val="24"/>
                <w:lang w:eastAsia="zh-CN"/>
              </w:rPr>
            </w:pPr>
            <w:r>
              <w:rPr>
                <w:rFonts w:hint="eastAsia" w:ascii="仿宋" w:hAnsi="仿宋" w:eastAsia="仿宋" w:cs="仿宋"/>
                <w:color w:val="000000"/>
                <w:sz w:val="24"/>
                <w:lang w:eastAsia="zh-CN"/>
              </w:rPr>
              <w:t>根据响应供应商承接的</w:t>
            </w:r>
            <w:r>
              <w:rPr>
                <w:rFonts w:hint="eastAsia" w:ascii="仿宋" w:hAnsi="仿宋" w:eastAsia="仿宋" w:cs="仿宋"/>
                <w:color w:val="000000"/>
                <w:sz w:val="24"/>
                <w:lang w:val="en-US" w:eastAsia="zh-CN"/>
              </w:rPr>
              <w:t>与本项目同类</w:t>
            </w:r>
            <w:r>
              <w:rPr>
                <w:rFonts w:hint="eastAsia" w:ascii="仿宋" w:hAnsi="仿宋" w:eastAsia="仿宋" w:cs="仿宋"/>
                <w:color w:val="000000"/>
                <w:sz w:val="24"/>
                <w:lang w:eastAsia="zh-CN"/>
              </w:rPr>
              <w:t>业绩情况进行评审，每提供1个有效合同得2分，最高得2</w:t>
            </w:r>
            <w:r>
              <w:rPr>
                <w:rFonts w:hint="eastAsia" w:ascii="仿宋" w:hAnsi="仿宋" w:eastAsia="仿宋" w:cs="仿宋"/>
                <w:color w:val="000000"/>
                <w:sz w:val="24"/>
                <w:lang w:val="en-US" w:eastAsia="zh-CN"/>
              </w:rPr>
              <w:t>4</w:t>
            </w:r>
            <w:r>
              <w:rPr>
                <w:rFonts w:hint="eastAsia" w:ascii="仿宋" w:hAnsi="仿宋" w:eastAsia="仿宋" w:cs="仿宋"/>
                <w:color w:val="000000"/>
                <w:sz w:val="24"/>
                <w:lang w:eastAsia="zh-CN"/>
              </w:rPr>
              <w:t>分。</w:t>
            </w:r>
          </w:p>
          <w:p>
            <w:pPr>
              <w:jc w:val="left"/>
              <w:rPr>
                <w:rFonts w:hint="eastAsia" w:ascii="仿宋" w:hAnsi="仿宋" w:eastAsia="仿宋" w:cs="仿宋"/>
                <w:color w:val="000000"/>
                <w:sz w:val="24"/>
              </w:rPr>
            </w:pPr>
            <w:r>
              <w:rPr>
                <w:rFonts w:hint="eastAsia" w:ascii="仿宋" w:hAnsi="仿宋" w:eastAsia="仿宋" w:cs="仿宋"/>
                <w:color w:val="000000"/>
                <w:sz w:val="24"/>
                <w:lang w:eastAsia="zh-CN"/>
              </w:rPr>
              <w:t>注：业绩情况须在响应文件中提供合同关键页复印件并加盖公章，未按要求提供的不得分。</w:t>
            </w:r>
          </w:p>
        </w:tc>
        <w:tc>
          <w:tcPr>
            <w:tcW w:w="937" w:type="dxa"/>
            <w:vAlign w:val="center"/>
          </w:tcPr>
          <w:p>
            <w:pPr>
              <w:jc w:val="center"/>
              <w:rPr>
                <w:rFonts w:hint="eastAsia" w:ascii="仿宋" w:hAnsi="仿宋" w:eastAsia="仿宋" w:cs="仿宋"/>
                <w:color w:val="00000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04" w:hRule="atLeast"/>
          <w:jc w:val="center"/>
        </w:trPr>
        <w:tc>
          <w:tcPr>
            <w:tcW w:w="516" w:type="dxa"/>
            <w:vAlign w:val="center"/>
          </w:tcPr>
          <w:p>
            <w:pPr>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5</w:t>
            </w:r>
          </w:p>
        </w:tc>
        <w:tc>
          <w:tcPr>
            <w:tcW w:w="1076" w:type="dxa"/>
            <w:vAlign w:val="center"/>
          </w:tcPr>
          <w:p>
            <w:pPr>
              <w:jc w:val="center"/>
              <w:rPr>
                <w:rFonts w:hint="eastAsia" w:ascii="仿宋" w:hAnsi="仿宋" w:eastAsia="仿宋" w:cs="仿宋"/>
                <w:color w:val="000000"/>
                <w:sz w:val="24"/>
              </w:rPr>
            </w:pPr>
            <w:r>
              <w:rPr>
                <w:rFonts w:hint="eastAsia" w:ascii="仿宋" w:hAnsi="仿宋" w:eastAsia="仿宋" w:cs="仿宋"/>
                <w:color w:val="000000"/>
                <w:sz w:val="24"/>
              </w:rPr>
              <w:t>运营技术总体方案</w:t>
            </w:r>
          </w:p>
        </w:tc>
        <w:tc>
          <w:tcPr>
            <w:tcW w:w="700" w:type="dxa"/>
            <w:vAlign w:val="center"/>
          </w:tcPr>
          <w:p>
            <w:pPr>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30</w:t>
            </w:r>
          </w:p>
        </w:tc>
        <w:tc>
          <w:tcPr>
            <w:tcW w:w="5513" w:type="dxa"/>
            <w:vAlign w:val="center"/>
          </w:tcPr>
          <w:p>
            <w:pPr>
              <w:jc w:val="left"/>
              <w:rPr>
                <w:rFonts w:hint="eastAsia" w:ascii="仿宋" w:hAnsi="仿宋" w:eastAsia="仿宋" w:cs="仿宋"/>
                <w:color w:val="000000"/>
                <w:sz w:val="24"/>
                <w:lang w:eastAsia="zh-CN"/>
              </w:rPr>
            </w:pPr>
            <w:r>
              <w:rPr>
                <w:rFonts w:hint="eastAsia" w:ascii="仿宋" w:hAnsi="仿宋" w:eastAsia="仿宋" w:cs="仿宋"/>
                <w:color w:val="000000"/>
                <w:sz w:val="24"/>
                <w:lang w:eastAsia="zh-CN"/>
              </w:rPr>
              <w:t>针对项目提供详细的运营总体方案，包括但不限于运行技术方案、项目管理方案、运营服务方案等，同时根据供应商对项目的认识和理解分析进行评审。</w:t>
            </w:r>
          </w:p>
          <w:p>
            <w:pPr>
              <w:jc w:val="left"/>
              <w:rPr>
                <w:rFonts w:hint="eastAsia" w:ascii="仿宋" w:hAnsi="仿宋" w:eastAsia="仿宋" w:cs="仿宋"/>
                <w:color w:val="000000"/>
                <w:sz w:val="24"/>
                <w:lang w:eastAsia="zh-CN"/>
              </w:rPr>
            </w:pPr>
            <w:r>
              <w:rPr>
                <w:rFonts w:hint="eastAsia" w:ascii="仿宋" w:hAnsi="仿宋" w:eastAsia="仿宋" w:cs="仿宋"/>
                <w:color w:val="000000"/>
                <w:sz w:val="24"/>
                <w:lang w:eastAsia="zh-CN"/>
              </w:rPr>
              <w:t>1、运营技术总体方案完整详细、科学合理、可行性高；同时对项目的认识和分析准确，清晰及完整得</w:t>
            </w:r>
            <w:r>
              <w:rPr>
                <w:rFonts w:hint="eastAsia" w:ascii="仿宋" w:hAnsi="仿宋" w:eastAsia="仿宋" w:cs="仿宋"/>
                <w:color w:val="000000"/>
                <w:sz w:val="24"/>
                <w:lang w:val="en-US" w:eastAsia="zh-CN"/>
              </w:rPr>
              <w:t>30</w:t>
            </w:r>
            <w:r>
              <w:rPr>
                <w:rFonts w:hint="eastAsia" w:ascii="仿宋" w:hAnsi="仿宋" w:eastAsia="仿宋" w:cs="仿宋"/>
                <w:color w:val="000000"/>
                <w:sz w:val="24"/>
                <w:lang w:eastAsia="zh-CN"/>
              </w:rPr>
              <w:t>分；</w:t>
            </w:r>
          </w:p>
          <w:p>
            <w:pPr>
              <w:jc w:val="left"/>
              <w:rPr>
                <w:rFonts w:hint="eastAsia" w:ascii="仿宋" w:hAnsi="仿宋" w:eastAsia="仿宋" w:cs="仿宋"/>
                <w:color w:val="000000"/>
                <w:sz w:val="24"/>
                <w:lang w:eastAsia="zh-CN"/>
              </w:rPr>
            </w:pPr>
            <w:r>
              <w:rPr>
                <w:rFonts w:hint="eastAsia" w:ascii="仿宋" w:hAnsi="仿宋" w:eastAsia="仿宋" w:cs="仿宋"/>
                <w:color w:val="000000"/>
                <w:sz w:val="24"/>
                <w:lang w:eastAsia="zh-CN"/>
              </w:rPr>
              <w:t>2、运营技术总体方案整体完善、合理、较有可行性；同时对项目的认识和分析较为准确，清晰及完整得15分；</w:t>
            </w:r>
          </w:p>
          <w:p>
            <w:pPr>
              <w:jc w:val="left"/>
              <w:rPr>
                <w:rFonts w:hint="eastAsia" w:ascii="仿宋" w:hAnsi="仿宋" w:eastAsia="仿宋" w:cs="仿宋"/>
                <w:color w:val="000000"/>
                <w:sz w:val="24"/>
                <w:lang w:eastAsia="zh-CN"/>
              </w:rPr>
            </w:pPr>
            <w:r>
              <w:rPr>
                <w:rFonts w:hint="eastAsia" w:ascii="仿宋" w:hAnsi="仿宋" w:eastAsia="仿宋" w:cs="仿宋"/>
                <w:color w:val="000000"/>
                <w:sz w:val="24"/>
                <w:lang w:eastAsia="zh-CN"/>
              </w:rPr>
              <w:t>3、运营技术总体方案不太完整、合理，可行性不高；同时对项目的认识和分析一般得</w:t>
            </w:r>
            <w:r>
              <w:rPr>
                <w:rFonts w:hint="eastAsia" w:ascii="仿宋" w:hAnsi="仿宋" w:eastAsia="仿宋" w:cs="仿宋"/>
                <w:color w:val="000000"/>
                <w:sz w:val="24"/>
                <w:lang w:val="en-US" w:eastAsia="zh-CN"/>
              </w:rPr>
              <w:t>5</w:t>
            </w:r>
            <w:r>
              <w:rPr>
                <w:rFonts w:hint="eastAsia" w:ascii="仿宋" w:hAnsi="仿宋" w:eastAsia="仿宋" w:cs="仿宋"/>
                <w:color w:val="000000"/>
                <w:sz w:val="24"/>
                <w:lang w:eastAsia="zh-CN"/>
              </w:rPr>
              <w:t>分；</w:t>
            </w:r>
          </w:p>
          <w:p>
            <w:pPr>
              <w:jc w:val="left"/>
              <w:rPr>
                <w:rFonts w:hint="eastAsia" w:ascii="仿宋" w:hAnsi="仿宋" w:eastAsia="仿宋" w:cs="仿宋"/>
                <w:color w:val="000000"/>
                <w:sz w:val="24"/>
                <w:lang w:eastAsia="zh-CN"/>
              </w:rPr>
            </w:pPr>
            <w:r>
              <w:rPr>
                <w:rFonts w:hint="eastAsia" w:ascii="仿宋" w:hAnsi="仿宋" w:eastAsia="仿宋" w:cs="仿宋"/>
                <w:color w:val="000000"/>
                <w:sz w:val="24"/>
                <w:lang w:eastAsia="zh-CN"/>
              </w:rPr>
              <w:t>4、运营技术总体方案不完整、不合理、较差；同时对项目的认识和分析较差得</w:t>
            </w:r>
            <w:r>
              <w:rPr>
                <w:rFonts w:hint="eastAsia" w:ascii="仿宋" w:hAnsi="仿宋" w:eastAsia="仿宋" w:cs="仿宋"/>
                <w:color w:val="000000"/>
                <w:sz w:val="24"/>
                <w:lang w:val="en-US" w:eastAsia="zh-CN"/>
              </w:rPr>
              <w:t>0</w:t>
            </w:r>
            <w:r>
              <w:rPr>
                <w:rFonts w:hint="eastAsia" w:ascii="仿宋" w:hAnsi="仿宋" w:eastAsia="仿宋" w:cs="仿宋"/>
                <w:color w:val="000000"/>
                <w:sz w:val="24"/>
                <w:lang w:eastAsia="zh-CN"/>
              </w:rPr>
              <w:t>分。</w:t>
            </w:r>
          </w:p>
          <w:p>
            <w:pPr>
              <w:jc w:val="left"/>
              <w:rPr>
                <w:rFonts w:hint="eastAsia" w:ascii="仿宋" w:hAnsi="仿宋" w:eastAsia="仿宋" w:cs="仿宋"/>
                <w:color w:val="000000"/>
                <w:sz w:val="24"/>
              </w:rPr>
            </w:pPr>
            <w:r>
              <w:rPr>
                <w:rFonts w:hint="eastAsia" w:ascii="仿宋" w:hAnsi="仿宋" w:eastAsia="仿宋" w:cs="仿宋"/>
                <w:color w:val="000000"/>
                <w:sz w:val="24"/>
                <w:lang w:val="en-US" w:eastAsia="zh-CN"/>
              </w:rPr>
              <w:t>注：</w:t>
            </w:r>
            <w:r>
              <w:rPr>
                <w:rFonts w:hint="eastAsia" w:ascii="仿宋" w:hAnsi="仿宋" w:eastAsia="仿宋" w:cs="仿宋"/>
                <w:color w:val="000000"/>
                <w:sz w:val="24"/>
                <w:lang w:val="zh-CN" w:eastAsia="zh-CN"/>
              </w:rPr>
              <w:t>无提供方案不得分。</w:t>
            </w:r>
          </w:p>
        </w:tc>
        <w:tc>
          <w:tcPr>
            <w:tcW w:w="937" w:type="dxa"/>
            <w:vAlign w:val="center"/>
          </w:tcPr>
          <w:p>
            <w:pPr>
              <w:jc w:val="center"/>
              <w:rPr>
                <w:rFonts w:hint="eastAsia" w:ascii="仿宋" w:hAnsi="仿宋" w:eastAsia="仿宋" w:cs="仿宋"/>
                <w:color w:val="00000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6" w:hRule="atLeast"/>
          <w:jc w:val="center"/>
        </w:trPr>
        <w:tc>
          <w:tcPr>
            <w:tcW w:w="516" w:type="dxa"/>
            <w:vAlign w:val="center"/>
          </w:tcPr>
          <w:p>
            <w:pPr>
              <w:jc w:val="center"/>
              <w:rPr>
                <w:rFonts w:hint="eastAsia" w:ascii="仿宋" w:hAnsi="仿宋" w:eastAsia="仿宋" w:cs="仿宋"/>
                <w:color w:val="000000"/>
                <w:sz w:val="24"/>
              </w:rPr>
            </w:pPr>
          </w:p>
        </w:tc>
        <w:tc>
          <w:tcPr>
            <w:tcW w:w="1076" w:type="dxa"/>
            <w:vAlign w:val="center"/>
          </w:tcPr>
          <w:p>
            <w:pPr>
              <w:jc w:val="center"/>
              <w:rPr>
                <w:rFonts w:hint="eastAsia" w:ascii="仿宋" w:hAnsi="仿宋" w:eastAsia="仿宋" w:cs="仿宋"/>
                <w:color w:val="000000"/>
                <w:sz w:val="24"/>
              </w:rPr>
            </w:pPr>
            <w:r>
              <w:rPr>
                <w:rFonts w:hint="eastAsia" w:ascii="仿宋" w:hAnsi="仿宋" w:eastAsia="仿宋" w:cs="仿宋"/>
                <w:color w:val="000000"/>
                <w:sz w:val="24"/>
              </w:rPr>
              <w:t>合计</w:t>
            </w:r>
          </w:p>
        </w:tc>
        <w:tc>
          <w:tcPr>
            <w:tcW w:w="700" w:type="dxa"/>
            <w:vAlign w:val="center"/>
          </w:tcPr>
          <w:p>
            <w:pPr>
              <w:jc w:val="center"/>
              <w:rPr>
                <w:rFonts w:hint="eastAsia" w:ascii="仿宋" w:hAnsi="仿宋" w:eastAsia="仿宋" w:cs="仿宋"/>
                <w:color w:val="000000"/>
                <w:sz w:val="24"/>
              </w:rPr>
            </w:pPr>
            <w:r>
              <w:rPr>
                <w:rFonts w:hint="eastAsia" w:ascii="仿宋" w:hAnsi="仿宋" w:eastAsia="仿宋" w:cs="仿宋"/>
                <w:color w:val="000000"/>
                <w:sz w:val="24"/>
              </w:rPr>
              <w:t>90</w:t>
            </w:r>
          </w:p>
        </w:tc>
        <w:tc>
          <w:tcPr>
            <w:tcW w:w="5513" w:type="dxa"/>
            <w:vAlign w:val="center"/>
          </w:tcPr>
          <w:p>
            <w:pPr>
              <w:jc w:val="center"/>
              <w:rPr>
                <w:rFonts w:hint="eastAsia" w:ascii="仿宋" w:hAnsi="仿宋" w:eastAsia="仿宋" w:cs="仿宋"/>
                <w:color w:val="000000"/>
                <w:sz w:val="24"/>
                <w:lang w:val="zh-CN"/>
              </w:rPr>
            </w:pPr>
          </w:p>
        </w:tc>
        <w:tc>
          <w:tcPr>
            <w:tcW w:w="937" w:type="dxa"/>
            <w:vAlign w:val="center"/>
          </w:tcPr>
          <w:p>
            <w:pPr>
              <w:jc w:val="center"/>
              <w:rPr>
                <w:rFonts w:hint="eastAsia" w:ascii="仿宋" w:hAnsi="仿宋" w:eastAsia="仿宋" w:cs="仿宋"/>
                <w:color w:val="000000"/>
                <w:sz w:val="24"/>
              </w:rPr>
            </w:pPr>
          </w:p>
        </w:tc>
      </w:tr>
    </w:tbl>
    <w:p>
      <w:pPr>
        <w:spacing w:line="440" w:lineRule="exact"/>
        <w:rPr>
          <w:rFonts w:ascii="仿宋" w:hAnsi="仿宋" w:eastAsia="仿宋" w:cs="仿宋"/>
          <w:color w:val="000000"/>
          <w:sz w:val="24"/>
        </w:rPr>
      </w:pPr>
    </w:p>
    <w:p>
      <w:pPr>
        <w:pStyle w:val="19"/>
        <w:rPr>
          <w:rFonts w:hint="eastAsia"/>
          <w:shd w:val="clear" w:color="FFFFFF" w:fill="D9D9D9"/>
          <w:lang w:val="en-US" w:eastAsia="zh-CN"/>
        </w:rPr>
      </w:pPr>
    </w:p>
    <w:p>
      <w:pPr>
        <w:pStyle w:val="19"/>
        <w:rPr>
          <w:rFonts w:hint="eastAsia"/>
          <w:lang w:val="en-US" w:eastAsia="zh-CN"/>
        </w:rPr>
      </w:pPr>
    </w:p>
    <w:p>
      <w:pPr>
        <w:pStyle w:val="19"/>
        <w:rPr>
          <w:rFonts w:hint="eastAsia"/>
          <w:lang w:val="en-US" w:eastAsia="zh-CN"/>
        </w:rPr>
      </w:pPr>
    </w:p>
    <w:p>
      <w:pPr>
        <w:spacing w:line="440" w:lineRule="exact"/>
        <w:rPr>
          <w:rFonts w:hint="eastAsia" w:ascii="仿宋" w:hAnsi="仿宋" w:eastAsia="仿宋" w:cs="仿宋"/>
          <w:color w:val="000000"/>
          <w:sz w:val="24"/>
        </w:rPr>
      </w:pPr>
    </w:p>
    <w:p>
      <w:pPr>
        <w:spacing w:line="440" w:lineRule="exact"/>
        <w:rPr>
          <w:rFonts w:hint="eastAsia" w:ascii="仿宋" w:hAnsi="仿宋" w:eastAsia="仿宋" w:cs="仿宋"/>
          <w:color w:val="000000"/>
          <w:sz w:val="24"/>
        </w:rPr>
      </w:pPr>
    </w:p>
    <w:p>
      <w:pPr>
        <w:spacing w:line="440" w:lineRule="exact"/>
        <w:rPr>
          <w:rFonts w:hint="eastAsia" w:ascii="仿宋" w:hAnsi="仿宋" w:eastAsia="仿宋" w:cs="仿宋"/>
          <w:color w:val="000000"/>
          <w:sz w:val="24"/>
        </w:rPr>
      </w:pPr>
    </w:p>
    <w:p>
      <w:pPr>
        <w:rPr>
          <w:rFonts w:hint="eastAsia"/>
        </w:rPr>
        <w:sectPr>
          <w:pgSz w:w="11907" w:h="16840"/>
          <w:pgMar w:top="1418" w:right="1418" w:bottom="1418" w:left="1418" w:header="567" w:footer="748" w:gutter="0"/>
          <w:cols w:space="720" w:num="1"/>
          <w:docGrid w:linePitch="312" w:charSpace="0"/>
        </w:sectPr>
      </w:pPr>
    </w:p>
    <w:p>
      <w:pPr>
        <w:rPr>
          <w:rFonts w:hint="eastAsia"/>
        </w:rPr>
      </w:pPr>
    </w:p>
    <w:p>
      <w:pPr>
        <w:pStyle w:val="4"/>
        <w:bidi w:val="0"/>
        <w:jc w:val="center"/>
        <w:rPr>
          <w:rFonts w:hint="eastAsia" w:ascii="宋体" w:hAnsi="宋体" w:eastAsia="宋体" w:cs="宋体"/>
          <w:color w:val="auto"/>
          <w:highlight w:val="none"/>
        </w:rPr>
      </w:pPr>
    </w:p>
    <w:p>
      <w:pPr>
        <w:pStyle w:val="4"/>
        <w:bidi w:val="0"/>
        <w:jc w:val="center"/>
        <w:rPr>
          <w:rFonts w:hint="eastAsia" w:ascii="宋体" w:hAnsi="宋体" w:eastAsia="宋体" w:cs="宋体"/>
          <w:color w:val="auto"/>
          <w:highlight w:val="none"/>
        </w:rPr>
      </w:pPr>
    </w:p>
    <w:p>
      <w:pPr>
        <w:pStyle w:val="4"/>
        <w:bidi w:val="0"/>
        <w:jc w:val="center"/>
        <w:rPr>
          <w:rFonts w:hint="eastAsia" w:ascii="宋体" w:hAnsi="宋体" w:eastAsia="宋体" w:cs="宋体"/>
          <w:color w:val="auto"/>
          <w:highlight w:val="none"/>
        </w:rPr>
      </w:pPr>
    </w:p>
    <w:p>
      <w:pPr>
        <w:pStyle w:val="4"/>
        <w:numPr>
          <w:ilvl w:val="0"/>
          <w:numId w:val="9"/>
        </w:numPr>
        <w:bidi w:val="0"/>
        <w:ind w:left="0" w:leftChars="0" w:firstLine="0" w:firstLineChars="0"/>
        <w:jc w:val="center"/>
        <w:rPr>
          <w:rFonts w:hint="eastAsia"/>
          <w:lang w:val="en-US" w:eastAsia="zh-CN"/>
        </w:rPr>
      </w:pPr>
      <w:bookmarkStart w:id="5" w:name="_Toc26271"/>
      <w:r>
        <w:rPr>
          <w:rFonts w:hint="eastAsia"/>
          <w:lang w:val="en-US" w:eastAsia="zh-CN"/>
        </w:rPr>
        <w:t>报价文件格式</w:t>
      </w:r>
      <w:bookmarkEnd w:id="5"/>
    </w:p>
    <w:p>
      <w:pPr>
        <w:widowControl w:val="0"/>
        <w:numPr>
          <w:ilvl w:val="0"/>
          <w:numId w:val="0"/>
        </w:numPr>
        <w:jc w:val="both"/>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7"/>
        <w:jc w:val="both"/>
        <w:rPr>
          <w:rFonts w:hint="eastAsia" w:hAnsi="宋体"/>
          <w:b/>
          <w:color w:val="auto"/>
          <w:sz w:val="96"/>
          <w:szCs w:val="96"/>
          <w:lang w:val="en-US" w:eastAsia="zh-CN"/>
        </w:rPr>
      </w:pPr>
    </w:p>
    <w:p>
      <w:pPr>
        <w:pStyle w:val="7"/>
        <w:jc w:val="center"/>
        <w:rPr>
          <w:rFonts w:hint="eastAsia" w:hAnsi="宋体"/>
          <w:b/>
          <w:color w:val="auto"/>
          <w:sz w:val="96"/>
          <w:szCs w:val="96"/>
          <w:lang w:val="en-US" w:eastAsia="zh-CN"/>
        </w:rPr>
      </w:pPr>
    </w:p>
    <w:p>
      <w:pPr>
        <w:pStyle w:val="7"/>
        <w:jc w:val="center"/>
        <w:rPr>
          <w:rFonts w:hint="default" w:hAnsi="宋体" w:eastAsia="宋体"/>
          <w:b/>
          <w:color w:val="auto"/>
          <w:sz w:val="96"/>
          <w:szCs w:val="96"/>
          <w:lang w:val="en-US" w:eastAsia="zh-CN"/>
        </w:rPr>
      </w:pPr>
      <w:r>
        <w:rPr>
          <w:rFonts w:hint="eastAsia" w:hAnsi="宋体"/>
          <w:b/>
          <w:color w:val="auto"/>
          <w:sz w:val="96"/>
          <w:szCs w:val="96"/>
          <w:lang w:val="en-US" w:eastAsia="zh-CN"/>
        </w:rPr>
        <w:t>报价文件</w:t>
      </w:r>
    </w:p>
    <w:p>
      <w:pPr>
        <w:pStyle w:val="7"/>
        <w:jc w:val="center"/>
        <w:rPr>
          <w:rFonts w:hAnsi="宋体"/>
          <w:b/>
          <w:color w:val="auto"/>
          <w:sz w:val="28"/>
          <w:szCs w:val="28"/>
        </w:rPr>
      </w:pPr>
    </w:p>
    <w:p>
      <w:pPr>
        <w:pStyle w:val="7"/>
        <w:jc w:val="both"/>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jc w:val="both"/>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spacing w:line="360" w:lineRule="auto"/>
        <w:rPr>
          <w:rFonts w:hint="eastAsia" w:hAnsi="宋体" w:eastAsia="宋体"/>
          <w:b/>
          <w:color w:val="auto"/>
          <w:sz w:val="32"/>
          <w:szCs w:val="32"/>
          <w:u w:val="single"/>
          <w:lang w:eastAsia="zh-CN"/>
        </w:rPr>
      </w:pPr>
      <w:r>
        <w:rPr>
          <w:rFonts w:hint="eastAsia" w:hAnsi="宋体"/>
          <w:b/>
          <w:color w:val="auto"/>
          <w:sz w:val="32"/>
          <w:szCs w:val="32"/>
        </w:rPr>
        <w:t>项目编号：</w:t>
      </w:r>
    </w:p>
    <w:p>
      <w:pPr>
        <w:pStyle w:val="6"/>
        <w:spacing w:line="360" w:lineRule="auto"/>
        <w:ind w:firstLine="0" w:firstLineChars="0"/>
        <w:rPr>
          <w:rFonts w:hint="eastAsia" w:ascii="宋体" w:hAnsi="宋体" w:eastAsia="宋体"/>
          <w:b/>
          <w:color w:val="auto"/>
          <w:sz w:val="32"/>
          <w:szCs w:val="32"/>
          <w:u w:val="single"/>
          <w:lang w:eastAsia="zh-CN"/>
        </w:rPr>
      </w:pPr>
      <w:r>
        <w:rPr>
          <w:rFonts w:hint="eastAsia" w:ascii="宋体" w:hAnsi="宋体" w:eastAsia="宋体"/>
          <w:b/>
          <w:color w:val="auto"/>
          <w:sz w:val="32"/>
          <w:szCs w:val="32"/>
        </w:rPr>
        <w:t>项目名称：</w:t>
      </w:r>
    </w:p>
    <w:p>
      <w:pPr>
        <w:pStyle w:val="7"/>
        <w:ind w:firstLine="843" w:firstLineChars="300"/>
        <w:rPr>
          <w:rFonts w:hAnsi="宋体"/>
          <w:b/>
          <w:color w:val="auto"/>
          <w:sz w:val="28"/>
          <w:szCs w:val="28"/>
        </w:rPr>
      </w:pPr>
    </w:p>
    <w:p>
      <w:pPr>
        <w:pStyle w:val="7"/>
        <w:ind w:firstLine="843" w:firstLineChars="300"/>
        <w:rPr>
          <w:rFonts w:hAnsi="宋体"/>
          <w:b/>
          <w:color w:val="auto"/>
          <w:sz w:val="28"/>
          <w:szCs w:val="28"/>
        </w:rPr>
      </w:pPr>
    </w:p>
    <w:p>
      <w:pPr>
        <w:pStyle w:val="7"/>
        <w:ind w:firstLine="843" w:firstLineChars="300"/>
        <w:rPr>
          <w:rFonts w:hAnsi="宋体"/>
          <w:b/>
          <w:color w:val="auto"/>
          <w:sz w:val="28"/>
          <w:szCs w:val="28"/>
        </w:rPr>
      </w:pPr>
    </w:p>
    <w:p>
      <w:pPr>
        <w:pStyle w:val="7"/>
        <w:ind w:firstLine="843" w:firstLineChars="300"/>
        <w:rPr>
          <w:rFonts w:hAnsi="宋体"/>
          <w:b/>
          <w:color w:val="auto"/>
          <w:sz w:val="28"/>
          <w:szCs w:val="28"/>
        </w:rPr>
      </w:pPr>
    </w:p>
    <w:p>
      <w:pPr>
        <w:pStyle w:val="7"/>
        <w:spacing w:line="360" w:lineRule="auto"/>
        <w:jc w:val="center"/>
        <w:rPr>
          <w:rFonts w:hint="eastAsia" w:hAnsi="宋体"/>
          <w:b/>
          <w:color w:val="auto"/>
          <w:sz w:val="28"/>
          <w:szCs w:val="28"/>
        </w:rPr>
      </w:pPr>
      <w:r>
        <w:rPr>
          <w:rFonts w:hint="eastAsia" w:hAnsi="宋体"/>
          <w:b/>
          <w:color w:val="auto"/>
          <w:sz w:val="28"/>
          <w:szCs w:val="28"/>
        </w:rPr>
        <w:t>供应商名称：</w:t>
      </w:r>
    </w:p>
    <w:p>
      <w:pPr>
        <w:pStyle w:val="7"/>
        <w:spacing w:line="360" w:lineRule="auto"/>
        <w:jc w:val="center"/>
        <w:rPr>
          <w:rFonts w:hint="eastAsia" w:hAnsi="宋体"/>
          <w:b/>
          <w:color w:val="auto"/>
          <w:sz w:val="28"/>
          <w:szCs w:val="28"/>
          <w:lang w:val="en-US" w:eastAsia="zh-CN"/>
        </w:rPr>
      </w:pPr>
      <w:r>
        <w:rPr>
          <w:rFonts w:hint="eastAsia" w:hAnsi="宋体"/>
          <w:b/>
          <w:color w:val="auto"/>
          <w:sz w:val="28"/>
          <w:szCs w:val="28"/>
          <w:lang w:val="en-US" w:eastAsia="zh-CN"/>
        </w:rPr>
        <w:t>业务员代表：</w:t>
      </w:r>
    </w:p>
    <w:p>
      <w:pPr>
        <w:pStyle w:val="7"/>
        <w:spacing w:line="360" w:lineRule="auto"/>
        <w:jc w:val="center"/>
        <w:rPr>
          <w:rFonts w:hint="default" w:hAnsi="宋体"/>
          <w:b/>
          <w:color w:val="auto"/>
          <w:sz w:val="28"/>
          <w:szCs w:val="28"/>
          <w:lang w:val="en-US" w:eastAsia="zh-CN"/>
        </w:rPr>
      </w:pPr>
      <w:r>
        <w:rPr>
          <w:rFonts w:hint="eastAsia" w:hAnsi="宋体"/>
          <w:b/>
          <w:color w:val="auto"/>
          <w:sz w:val="28"/>
          <w:szCs w:val="28"/>
          <w:lang w:val="en-US" w:eastAsia="zh-CN"/>
        </w:rPr>
        <w:t>联系方式：</w:t>
      </w:r>
    </w:p>
    <w:p>
      <w:pPr>
        <w:pStyle w:val="7"/>
        <w:spacing w:line="360" w:lineRule="auto"/>
        <w:ind w:firstLine="3117" w:firstLineChars="1109"/>
        <w:jc w:val="center"/>
        <w:rPr>
          <w:rFonts w:hint="eastAsia" w:hAnsi="宋体"/>
          <w:b/>
          <w:color w:val="auto"/>
          <w:sz w:val="28"/>
          <w:szCs w:val="28"/>
        </w:rPr>
      </w:pPr>
    </w:p>
    <w:p>
      <w:pPr>
        <w:autoSpaceDE w:val="0"/>
        <w:autoSpaceDN w:val="0"/>
        <w:spacing w:line="240" w:lineRule="atLeast"/>
        <w:jc w:val="center"/>
        <w:rPr>
          <w:rFonts w:ascii="宋体" w:hAnsi="宋体"/>
          <w:b/>
          <w:color w:val="auto"/>
          <w:sz w:val="28"/>
          <w:szCs w:val="28"/>
          <w:u w:val="single"/>
        </w:rPr>
      </w:pPr>
      <w:r>
        <w:rPr>
          <w:rFonts w:hint="eastAsia" w:ascii="宋体" w:hAnsi="宋体"/>
          <w:b/>
          <w:color w:val="auto"/>
          <w:sz w:val="28"/>
          <w:szCs w:val="28"/>
        </w:rPr>
        <w:t>日期：</w:t>
      </w:r>
      <w:r>
        <w:rPr>
          <w:rFonts w:hint="eastAsia" w:ascii="宋体" w:hAnsi="宋体"/>
          <w:b/>
          <w:color w:val="auto"/>
          <w:sz w:val="28"/>
          <w:szCs w:val="28"/>
          <w:lang w:val="en-US" w:eastAsia="zh-CN"/>
        </w:rPr>
        <w:t xml:space="preserve">    </w:t>
      </w:r>
      <w:r>
        <w:rPr>
          <w:rFonts w:hint="eastAsia" w:ascii="宋体" w:hAnsi="宋体"/>
          <w:b/>
          <w:color w:val="auto"/>
          <w:sz w:val="28"/>
          <w:szCs w:val="28"/>
        </w:rPr>
        <w:t>年</w:t>
      </w:r>
      <w:r>
        <w:rPr>
          <w:rFonts w:hint="eastAsia" w:ascii="宋体" w:hAnsi="宋体"/>
          <w:b/>
          <w:color w:val="auto"/>
          <w:sz w:val="28"/>
          <w:szCs w:val="28"/>
          <w:lang w:val="en-US" w:eastAsia="zh-CN"/>
        </w:rPr>
        <w:t xml:space="preserve">  </w:t>
      </w:r>
      <w:r>
        <w:rPr>
          <w:rFonts w:hint="eastAsia" w:ascii="宋体" w:hAnsi="宋体"/>
          <w:b/>
          <w:color w:val="auto"/>
          <w:sz w:val="28"/>
          <w:szCs w:val="28"/>
        </w:rPr>
        <w:t>月</w:t>
      </w:r>
      <w:r>
        <w:rPr>
          <w:rFonts w:hint="eastAsia" w:ascii="宋体" w:hAnsi="宋体"/>
          <w:b/>
          <w:color w:val="auto"/>
          <w:sz w:val="28"/>
          <w:szCs w:val="28"/>
          <w:lang w:val="en-US" w:eastAsia="zh-CN"/>
        </w:rPr>
        <w:t xml:space="preserve">  </w:t>
      </w:r>
      <w:r>
        <w:rPr>
          <w:rFonts w:hint="eastAsia" w:ascii="宋体" w:hAnsi="宋体"/>
          <w:b/>
          <w:color w:val="auto"/>
          <w:sz w:val="28"/>
          <w:szCs w:val="28"/>
        </w:rPr>
        <w:t>日</w:t>
      </w:r>
    </w:p>
    <w:p>
      <w:pPr>
        <w:pStyle w:val="19"/>
        <w:rPr>
          <w:rFonts w:hint="eastAsia"/>
          <w:lang w:val="en-US" w:eastAsia="zh-CN"/>
        </w:rPr>
      </w:pPr>
    </w:p>
    <w:p>
      <w:pPr>
        <w:pStyle w:val="19"/>
        <w:rPr>
          <w:rFonts w:hint="eastAsia"/>
          <w:lang w:val="en-US" w:eastAsia="zh-CN"/>
        </w:rPr>
      </w:pPr>
    </w:p>
    <w:p>
      <w:pPr>
        <w:numPr>
          <w:ilvl w:val="0"/>
          <w:numId w:val="0"/>
        </w:numPr>
        <w:bidi w:val="0"/>
        <w:ind w:leftChars="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br w:type="page"/>
      </w:r>
      <w:r>
        <w:rPr>
          <w:rFonts w:hint="eastAsia" w:ascii="宋体" w:hAnsi="宋体" w:cs="宋体"/>
          <w:color w:val="auto"/>
          <w:sz w:val="24"/>
          <w:szCs w:val="24"/>
          <w:highlight w:val="none"/>
          <w:lang w:val="en-US" w:eastAsia="zh-CN"/>
        </w:rPr>
        <w:t>技术条款响应表</w:t>
      </w:r>
    </w:p>
    <w:p>
      <w:pPr>
        <w:pStyle w:val="2"/>
        <w:rPr>
          <w:rFonts w:hint="eastAsia" w:ascii="宋体" w:hAnsi="宋体" w:eastAsia="宋体" w:cs="宋体"/>
          <w:color w:val="auto"/>
          <w:sz w:val="24"/>
          <w:szCs w:val="24"/>
          <w:highlight w:val="none"/>
          <w:lang w:val="en-US" w:eastAsia="zh-CN"/>
        </w:rPr>
      </w:pPr>
    </w:p>
    <w:p>
      <w:pPr>
        <w:spacing w:line="500" w:lineRule="exact"/>
        <w:rPr>
          <w:rFonts w:hint="default"/>
          <w:lang w:val="en-US" w:eastAsia="zh-CN"/>
        </w:rPr>
      </w:pPr>
      <w:r>
        <w:rPr>
          <w:rFonts w:hint="eastAsia" w:ascii="宋体" w:hAnsi="宋体" w:cs="宋体"/>
          <w:b/>
          <w:bCs w:val="0"/>
          <w:color w:val="000000"/>
          <w:sz w:val="21"/>
          <w:szCs w:val="21"/>
        </w:rPr>
        <w:t>实质性条款</w:t>
      </w:r>
    </w:p>
    <w:tbl>
      <w:tblPr>
        <w:tblStyle w:val="15"/>
        <w:tblpPr w:leftFromText="180" w:rightFromText="180" w:vertAnchor="text" w:horzAnchor="page" w:tblpXSpec="center" w:tblpY="476"/>
        <w:tblOverlap w:val="never"/>
        <w:tblW w:w="10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7329"/>
        <w:gridCol w:w="1118"/>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序号</w:t>
            </w:r>
          </w:p>
        </w:tc>
        <w:tc>
          <w:tcPr>
            <w:tcW w:w="732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参数要求</w:t>
            </w:r>
          </w:p>
        </w:tc>
        <w:tc>
          <w:tcPr>
            <w:tcW w:w="1118" w:type="dxa"/>
            <w:vAlign w:val="center"/>
          </w:tcPr>
          <w:p>
            <w:pPr>
              <w:keepNext w:val="0"/>
              <w:keepLines w:val="0"/>
              <w:pageBreakBefore w:val="0"/>
              <w:widowControl w:val="0"/>
              <w:tabs>
                <w:tab w:val="left" w:pos="720"/>
              </w:tabs>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完全响应或</w:t>
            </w:r>
          </w:p>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正/负偏离</w:t>
            </w:r>
          </w:p>
        </w:tc>
        <w:tc>
          <w:tcPr>
            <w:tcW w:w="111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95"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1</w:t>
            </w:r>
          </w:p>
        </w:tc>
        <w:tc>
          <w:tcPr>
            <w:tcW w:w="7329" w:type="dxa"/>
            <w:vAlign w:val="center"/>
          </w:tcPr>
          <w:p>
            <w:pPr>
              <w:pStyle w:val="7"/>
              <w:tabs>
                <w:tab w:val="left" w:pos="420"/>
                <w:tab w:val="left" w:pos="567"/>
              </w:tabs>
              <w:adjustRightInd w:val="0"/>
              <w:snapToGrid w:val="0"/>
              <w:spacing w:line="360" w:lineRule="auto"/>
              <w:ind w:firstLine="240" w:firstLineChars="100"/>
              <w:rPr>
                <w:rFonts w:hint="eastAsia" w:hAnsi="宋体" w:cs="宋体"/>
                <w:color w:val="000000"/>
                <w:sz w:val="24"/>
                <w:szCs w:val="24"/>
              </w:rPr>
            </w:pPr>
          </w:p>
          <w:p>
            <w:pPr>
              <w:pStyle w:val="7"/>
              <w:tabs>
                <w:tab w:val="left" w:pos="420"/>
                <w:tab w:val="left" w:pos="567"/>
              </w:tabs>
              <w:adjustRightInd w:val="0"/>
              <w:snapToGrid w:val="0"/>
              <w:spacing w:line="360" w:lineRule="auto"/>
              <w:rPr>
                <w:rFonts w:hAnsi="宋体" w:cs="宋体"/>
                <w:color w:val="000000"/>
                <w:sz w:val="24"/>
                <w:szCs w:val="24"/>
                <w:lang w:val="en-GB"/>
              </w:rPr>
            </w:pPr>
            <w:r>
              <w:rPr>
                <w:rFonts w:hint="eastAsia" w:hAnsi="宋体" w:cs="宋体"/>
                <w:color w:val="000000"/>
                <w:sz w:val="24"/>
                <w:szCs w:val="24"/>
                <w:lang w:val="en-GB"/>
              </w:rPr>
              <w:t>日常运营服务管理</w:t>
            </w:r>
            <w:r>
              <w:rPr>
                <w:rFonts w:hint="eastAsia" w:hAnsi="宋体" w:cs="宋体"/>
                <w:color w:val="000000"/>
                <w:sz w:val="24"/>
                <w:szCs w:val="24"/>
              </w:rPr>
              <w:t>内容及</w:t>
            </w:r>
            <w:r>
              <w:rPr>
                <w:rFonts w:hint="eastAsia" w:hAnsi="宋体" w:cs="宋体"/>
                <w:color w:val="000000"/>
                <w:sz w:val="24"/>
                <w:szCs w:val="24"/>
                <w:lang w:val="en-GB"/>
              </w:rPr>
              <w:t>要求</w:t>
            </w:r>
          </w:p>
          <w:tbl>
            <w:tblPr>
              <w:tblStyle w:val="14"/>
              <w:tblpPr w:leftFromText="180" w:rightFromText="180" w:vertAnchor="text" w:horzAnchor="page" w:tblpX="76" w:tblpY="545"/>
              <w:tblOverlap w:val="never"/>
              <w:tblW w:w="7072"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62"/>
              <w:gridCol w:w="1590"/>
              <w:gridCol w:w="472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2" w:hRule="atLeast"/>
              </w:trPr>
              <w:tc>
                <w:tcPr>
                  <w:tcW w:w="762" w:type="dxa"/>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b w:val="0"/>
                      <w:bCs w:val="0"/>
                      <w:color w:val="000000"/>
                      <w:szCs w:val="24"/>
                    </w:rPr>
                  </w:pPr>
                  <w:r>
                    <w:rPr>
                      <w:rFonts w:hint="eastAsia" w:hAnsi="宋体" w:cs="宋体"/>
                      <w:b w:val="0"/>
                      <w:bCs w:val="0"/>
                      <w:color w:val="000000"/>
                      <w:szCs w:val="24"/>
                    </w:rPr>
                    <w:t>序号</w:t>
                  </w:r>
                </w:p>
              </w:tc>
              <w:tc>
                <w:tcPr>
                  <w:tcW w:w="1590" w:type="dxa"/>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b w:val="0"/>
                      <w:bCs w:val="0"/>
                      <w:color w:val="000000"/>
                      <w:szCs w:val="24"/>
                      <w:highlight w:val="none"/>
                    </w:rPr>
                  </w:pPr>
                  <w:r>
                    <w:rPr>
                      <w:rFonts w:hint="eastAsia" w:hAnsi="宋体" w:cs="宋体"/>
                      <w:b w:val="0"/>
                      <w:bCs w:val="0"/>
                      <w:color w:val="000000"/>
                      <w:szCs w:val="24"/>
                      <w:highlight w:val="none"/>
                      <w:lang w:val="en-US" w:eastAsia="zh-CN"/>
                    </w:rPr>
                    <w:t>工作事项</w:t>
                  </w:r>
                </w:p>
              </w:tc>
              <w:tc>
                <w:tcPr>
                  <w:tcW w:w="4720" w:type="dxa"/>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b w:val="0"/>
                      <w:bCs w:val="0"/>
                      <w:color w:val="000000"/>
                      <w:szCs w:val="24"/>
                      <w:highlight w:val="none"/>
                    </w:rPr>
                  </w:pPr>
                  <w:r>
                    <w:rPr>
                      <w:rFonts w:hint="eastAsia" w:hAnsi="宋体" w:cs="宋体"/>
                      <w:b w:val="0"/>
                      <w:bCs w:val="0"/>
                      <w:color w:val="000000"/>
                      <w:szCs w:val="24"/>
                      <w:highlight w:val="none"/>
                      <w:lang w:val="en-US" w:eastAsia="zh-CN"/>
                    </w:rPr>
                    <w:t>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9" w:hRule="atLeast"/>
              </w:trPr>
              <w:tc>
                <w:tcPr>
                  <w:tcW w:w="762" w:type="dxa"/>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color w:val="000000"/>
                      <w:szCs w:val="24"/>
                    </w:rPr>
                  </w:pPr>
                  <w:r>
                    <w:rPr>
                      <w:rFonts w:hint="eastAsia" w:hAnsi="宋体" w:cs="宋体"/>
                      <w:color w:val="000000"/>
                      <w:szCs w:val="24"/>
                    </w:rPr>
                    <w:t>1</w:t>
                  </w:r>
                </w:p>
              </w:tc>
              <w:tc>
                <w:tcPr>
                  <w:tcW w:w="1590" w:type="dxa"/>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color w:val="000000"/>
                      <w:szCs w:val="24"/>
                    </w:rPr>
                  </w:pPr>
                  <w:r>
                    <w:rPr>
                      <w:rFonts w:hint="eastAsia" w:hAnsi="宋体" w:cs="宋体"/>
                      <w:color w:val="000000"/>
                      <w:szCs w:val="24"/>
                    </w:rPr>
                    <w:t>人工格栅</w:t>
                  </w:r>
                </w:p>
              </w:tc>
              <w:tc>
                <w:tcPr>
                  <w:tcW w:w="4720" w:type="dxa"/>
                  <w:tcBorders>
                    <w:top w:val="single" w:color="auto" w:sz="4" w:space="0"/>
                    <w:left w:val="single" w:color="auto" w:sz="4" w:space="0"/>
                    <w:bottom w:val="single" w:color="auto" w:sz="4" w:space="0"/>
                    <w:right w:val="single" w:color="auto" w:sz="4" w:space="0"/>
                  </w:tcBorders>
                  <w:vAlign w:val="center"/>
                </w:tcPr>
                <w:p>
                  <w:pPr>
                    <w:widowControl/>
                    <w:rPr>
                      <w:rFonts w:hAnsi="宋体" w:cs="宋体"/>
                      <w:color w:val="000000"/>
                      <w:szCs w:val="24"/>
                    </w:rPr>
                  </w:pPr>
                  <w:r>
                    <w:rPr>
                      <w:rFonts w:hint="eastAsia" w:hAnsi="宋体" w:cs="宋体"/>
                      <w:color w:val="000000"/>
                      <w:szCs w:val="24"/>
                    </w:rPr>
                    <w:t>（1） 每天清捞栅渣，并运送至采购人指定存放点；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30" w:hRule="atLeast"/>
              </w:trPr>
              <w:tc>
                <w:tcPr>
                  <w:tcW w:w="762" w:type="dxa"/>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color w:val="000000"/>
                      <w:szCs w:val="24"/>
                    </w:rPr>
                  </w:pPr>
                  <w:r>
                    <w:rPr>
                      <w:rFonts w:hint="eastAsia" w:hAnsi="宋体" w:cs="宋体"/>
                      <w:color w:val="000000"/>
                      <w:szCs w:val="24"/>
                    </w:rPr>
                    <w:t>2</w:t>
                  </w:r>
                </w:p>
              </w:tc>
              <w:tc>
                <w:tcPr>
                  <w:tcW w:w="1590" w:type="dxa"/>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color w:val="000000"/>
                      <w:szCs w:val="24"/>
                    </w:rPr>
                  </w:pPr>
                  <w:r>
                    <w:rPr>
                      <w:rFonts w:hint="eastAsia" w:hAnsi="宋体" w:cs="宋体"/>
                      <w:color w:val="000000"/>
                      <w:szCs w:val="24"/>
                    </w:rPr>
                    <w:t>污水提升泵</w:t>
                  </w:r>
                </w:p>
              </w:tc>
              <w:tc>
                <w:tcPr>
                  <w:tcW w:w="4720" w:type="dxa"/>
                  <w:tcBorders>
                    <w:top w:val="single" w:color="auto" w:sz="4" w:space="0"/>
                    <w:left w:val="single" w:color="auto" w:sz="4" w:space="0"/>
                    <w:bottom w:val="single" w:color="auto" w:sz="4" w:space="0"/>
                    <w:right w:val="single" w:color="auto" w:sz="4" w:space="0"/>
                  </w:tcBorders>
                  <w:vAlign w:val="center"/>
                </w:tcPr>
                <w:p>
                  <w:pPr>
                    <w:widowControl/>
                    <w:numPr>
                      <w:ilvl w:val="0"/>
                      <w:numId w:val="4"/>
                    </w:numPr>
                    <w:rPr>
                      <w:rFonts w:hint="eastAsia" w:hAnsi="宋体" w:cs="宋体"/>
                      <w:color w:val="000000"/>
                      <w:szCs w:val="24"/>
                    </w:rPr>
                  </w:pPr>
                  <w:r>
                    <w:rPr>
                      <w:rFonts w:hint="eastAsia" w:hAnsi="宋体" w:cs="宋体"/>
                      <w:color w:val="000000"/>
                      <w:szCs w:val="24"/>
                    </w:rPr>
                    <w:t>由液位计控制水泵起停；</w:t>
                  </w:r>
                </w:p>
                <w:p>
                  <w:pPr>
                    <w:widowControl/>
                    <w:numPr>
                      <w:ilvl w:val="0"/>
                      <w:numId w:val="4"/>
                    </w:numPr>
                    <w:rPr>
                      <w:rFonts w:hAnsi="宋体" w:cs="宋体"/>
                      <w:color w:val="000000"/>
                      <w:szCs w:val="24"/>
                    </w:rPr>
                  </w:pPr>
                  <w:r>
                    <w:rPr>
                      <w:rFonts w:hint="eastAsia" w:hAnsi="宋体" w:cs="宋体"/>
                      <w:color w:val="000000"/>
                      <w:szCs w:val="24"/>
                    </w:rPr>
                    <w:t>每2个小时检查运行情况一次，并做好巡检记录；</w:t>
                  </w:r>
                  <w:r>
                    <w:rPr>
                      <w:rFonts w:hint="eastAsia" w:hAnsi="宋体" w:cs="宋体"/>
                      <w:color w:val="000000"/>
                      <w:szCs w:val="24"/>
                    </w:rPr>
                    <w:br w:type="textWrapping"/>
                  </w:r>
                  <w:r>
                    <w:rPr>
                      <w:rFonts w:hint="eastAsia" w:hAnsi="宋体" w:cs="宋体"/>
                      <w:color w:val="000000"/>
                      <w:szCs w:val="24"/>
                    </w:rPr>
                    <w:t>（3） 每个月进行例行检查、发现故障及时上报采购人主管部门。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25" w:hRule="atLeast"/>
              </w:trPr>
              <w:tc>
                <w:tcPr>
                  <w:tcW w:w="762" w:type="dxa"/>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color w:val="000000"/>
                      <w:szCs w:val="24"/>
                    </w:rPr>
                  </w:pPr>
                  <w:r>
                    <w:rPr>
                      <w:rFonts w:hint="eastAsia" w:hAnsi="宋体" w:cs="宋体"/>
                      <w:color w:val="000000"/>
                      <w:szCs w:val="24"/>
                    </w:rPr>
                    <w:t>3</w:t>
                  </w:r>
                </w:p>
              </w:tc>
              <w:tc>
                <w:tcPr>
                  <w:tcW w:w="1590" w:type="dxa"/>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color w:val="000000"/>
                      <w:szCs w:val="24"/>
                    </w:rPr>
                  </w:pPr>
                  <w:r>
                    <w:rPr>
                      <w:rFonts w:hint="eastAsia" w:hAnsi="宋体" w:cs="宋体"/>
                      <w:color w:val="000000"/>
                      <w:szCs w:val="24"/>
                    </w:rPr>
                    <w:t>液位控制器</w:t>
                  </w:r>
                </w:p>
              </w:tc>
              <w:tc>
                <w:tcPr>
                  <w:tcW w:w="4720" w:type="dxa"/>
                  <w:tcBorders>
                    <w:top w:val="single" w:color="auto" w:sz="4" w:space="0"/>
                    <w:left w:val="single" w:color="auto" w:sz="4" w:space="0"/>
                    <w:bottom w:val="single" w:color="auto" w:sz="4" w:space="0"/>
                    <w:right w:val="single" w:color="auto" w:sz="4" w:space="0"/>
                  </w:tcBorders>
                  <w:vAlign w:val="center"/>
                </w:tcPr>
                <w:p>
                  <w:pPr>
                    <w:widowControl/>
                    <w:numPr>
                      <w:ilvl w:val="0"/>
                      <w:numId w:val="5"/>
                    </w:numPr>
                    <w:rPr>
                      <w:rFonts w:hAnsi="宋体" w:cs="宋体"/>
                      <w:color w:val="000000"/>
                      <w:szCs w:val="24"/>
                    </w:rPr>
                  </w:pPr>
                  <w:r>
                    <w:rPr>
                      <w:rFonts w:hint="eastAsia" w:hAnsi="宋体" w:cs="宋体"/>
                      <w:color w:val="000000"/>
                      <w:szCs w:val="24"/>
                    </w:rPr>
                    <w:t>经常检查水池液位情况，确保液位计运行正常，做好检查记录；</w:t>
                  </w:r>
                  <w:r>
                    <w:rPr>
                      <w:rFonts w:hint="eastAsia" w:hAnsi="宋体" w:cs="宋体"/>
                      <w:color w:val="000000"/>
                      <w:szCs w:val="24"/>
                    </w:rPr>
                    <w:br w:type="textWrapping"/>
                  </w:r>
                  <w:r>
                    <w:rPr>
                      <w:rFonts w:hint="eastAsia" w:hAnsi="宋体" w:cs="宋体"/>
                      <w:color w:val="000000"/>
                      <w:szCs w:val="24"/>
                    </w:rPr>
                    <w:t>（2）每周检查一次液位控制器的灵活性，做好检查记录。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62" w:type="dxa"/>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color w:val="000000"/>
                      <w:szCs w:val="24"/>
                    </w:rPr>
                  </w:pPr>
                  <w:r>
                    <w:rPr>
                      <w:rFonts w:hint="eastAsia" w:hAnsi="宋体" w:cs="宋体"/>
                      <w:color w:val="000000"/>
                      <w:szCs w:val="24"/>
                    </w:rPr>
                    <w:t>4</w:t>
                  </w:r>
                </w:p>
              </w:tc>
              <w:tc>
                <w:tcPr>
                  <w:tcW w:w="1590" w:type="dxa"/>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color w:val="000000"/>
                      <w:szCs w:val="24"/>
                    </w:rPr>
                  </w:pPr>
                  <w:r>
                    <w:rPr>
                      <w:rFonts w:hint="eastAsia" w:hAnsi="宋体" w:cs="宋体"/>
                      <w:color w:val="000000"/>
                      <w:szCs w:val="24"/>
                    </w:rPr>
                    <w:t>控制电柜</w:t>
                  </w:r>
                </w:p>
              </w:tc>
              <w:tc>
                <w:tcPr>
                  <w:tcW w:w="4720" w:type="dxa"/>
                  <w:tcBorders>
                    <w:top w:val="single" w:color="auto" w:sz="4" w:space="0"/>
                    <w:left w:val="single" w:color="auto" w:sz="4" w:space="0"/>
                    <w:bottom w:val="single" w:color="auto" w:sz="4" w:space="0"/>
                    <w:right w:val="single" w:color="auto" w:sz="4" w:space="0"/>
                  </w:tcBorders>
                  <w:vAlign w:val="center"/>
                </w:tcPr>
                <w:p>
                  <w:pPr>
                    <w:widowControl/>
                    <w:numPr>
                      <w:ilvl w:val="0"/>
                      <w:numId w:val="6"/>
                    </w:numPr>
                    <w:rPr>
                      <w:rFonts w:hAnsi="宋体" w:cs="宋体"/>
                      <w:color w:val="000000"/>
                      <w:szCs w:val="24"/>
                    </w:rPr>
                  </w:pPr>
                  <w:r>
                    <w:rPr>
                      <w:rFonts w:hint="eastAsia" w:hAnsi="宋体" w:cs="宋体"/>
                      <w:color w:val="000000"/>
                      <w:szCs w:val="24"/>
                    </w:rPr>
                    <w:t>每月检查各电气元件的完好性与可用性，做好检查记录；</w:t>
                  </w:r>
                </w:p>
                <w:p>
                  <w:pPr>
                    <w:widowControl/>
                    <w:numPr>
                      <w:ilvl w:val="0"/>
                      <w:numId w:val="6"/>
                    </w:numPr>
                    <w:rPr>
                      <w:rFonts w:hAnsi="宋体" w:cs="宋体"/>
                      <w:color w:val="000000"/>
                      <w:szCs w:val="24"/>
                    </w:rPr>
                  </w:pPr>
                  <w:r>
                    <w:rPr>
                      <w:rFonts w:hint="eastAsia" w:hAnsi="宋体" w:cs="宋体"/>
                      <w:color w:val="000000"/>
                      <w:szCs w:val="24"/>
                    </w:rPr>
                    <w:t>检查热继电器、过电流继电器等联锁保护装置完整性、灵敏性和准确性，做好检查记录，如有发现故障及时上报采购人主管部门。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561" w:hRule="atLeast"/>
              </w:trPr>
              <w:tc>
                <w:tcPr>
                  <w:tcW w:w="762" w:type="dxa"/>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color w:val="000000"/>
                      <w:szCs w:val="24"/>
                    </w:rPr>
                  </w:pPr>
                  <w:r>
                    <w:rPr>
                      <w:rFonts w:hint="eastAsia" w:hAnsi="宋体" w:cs="宋体"/>
                      <w:color w:val="000000"/>
                      <w:szCs w:val="24"/>
                    </w:rPr>
                    <w:t>5</w:t>
                  </w:r>
                </w:p>
              </w:tc>
              <w:tc>
                <w:tcPr>
                  <w:tcW w:w="159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hAnsi="宋体" w:cs="宋体"/>
                      <w:color w:val="0000FF"/>
                      <w:szCs w:val="24"/>
                      <w:lang w:val="en-US"/>
                    </w:rPr>
                  </w:pPr>
                  <w:r>
                    <w:rPr>
                      <w:rFonts w:hint="eastAsia" w:hAnsi="宋体" w:cs="宋体"/>
                      <w:color w:val="0000FF"/>
                      <w:szCs w:val="24"/>
                      <w:lang w:val="en-US" w:eastAsia="zh-CN"/>
                    </w:rPr>
                    <w:t>次氯酸钠发生器</w:t>
                  </w:r>
                </w:p>
              </w:tc>
              <w:tc>
                <w:tcPr>
                  <w:tcW w:w="4720" w:type="dxa"/>
                  <w:tcBorders>
                    <w:top w:val="single" w:color="auto" w:sz="4" w:space="0"/>
                    <w:left w:val="single" w:color="auto" w:sz="4" w:space="0"/>
                    <w:bottom w:val="single" w:color="auto" w:sz="4" w:space="0"/>
                    <w:right w:val="single" w:color="auto" w:sz="4" w:space="0"/>
                  </w:tcBorders>
                  <w:vAlign w:val="center"/>
                </w:tcPr>
                <w:p>
                  <w:pPr>
                    <w:widowControl/>
                    <w:rPr>
                      <w:color w:val="0000FF"/>
                      <w:szCs w:val="24"/>
                    </w:rPr>
                  </w:pPr>
                  <w:r>
                    <w:rPr>
                      <w:rFonts w:hint="eastAsia"/>
                      <w:color w:val="0000FF"/>
                      <w:szCs w:val="24"/>
                    </w:rPr>
                    <w:t>（1）做好投放药剂的安全管理工作，每2小时巡查一次（双人双锁），非管理人员不得进入污水处理站，操作间禁止闲人进入；</w:t>
                  </w:r>
                </w:p>
                <w:p>
                  <w:pPr>
                    <w:widowControl/>
                    <w:rPr>
                      <w:color w:val="0000FF"/>
                      <w:szCs w:val="24"/>
                    </w:rPr>
                  </w:pPr>
                  <w:r>
                    <w:rPr>
                      <w:rFonts w:hint="eastAsia"/>
                      <w:color w:val="0000FF"/>
                      <w:szCs w:val="24"/>
                    </w:rPr>
                    <w:t>（2）做好药剂使用用量登记及数据统计；</w:t>
                  </w:r>
                </w:p>
                <w:p>
                  <w:pPr>
                    <w:widowControl/>
                    <w:rPr>
                      <w:color w:val="0000FF"/>
                      <w:szCs w:val="24"/>
                    </w:rPr>
                  </w:pPr>
                  <w:r>
                    <w:rPr>
                      <w:rFonts w:hint="eastAsia"/>
                      <w:color w:val="0000FF"/>
                      <w:szCs w:val="24"/>
                    </w:rPr>
                    <w:t>（3）每小时巡查</w:t>
                  </w:r>
                  <w:r>
                    <w:rPr>
                      <w:rFonts w:hint="eastAsia"/>
                      <w:color w:val="0000FF"/>
                      <w:szCs w:val="24"/>
                      <w:lang w:val="en-US" w:eastAsia="zh-CN"/>
                    </w:rPr>
                    <w:t>次氯酸钠</w:t>
                  </w:r>
                  <w:r>
                    <w:rPr>
                      <w:rFonts w:hint="eastAsia"/>
                      <w:color w:val="0000FF"/>
                      <w:szCs w:val="24"/>
                    </w:rPr>
                    <w:t>发生器运行是否正常，药剂是否满足要求，</w:t>
                  </w:r>
                  <w:r>
                    <w:rPr>
                      <w:rFonts w:hint="eastAsia" w:hAnsi="宋体" w:cs="宋体"/>
                      <w:color w:val="0000FF"/>
                      <w:szCs w:val="24"/>
                    </w:rPr>
                    <w:t>做好巡查记录</w:t>
                  </w:r>
                  <w:r>
                    <w:rPr>
                      <w:rFonts w:hint="eastAsia"/>
                      <w:color w:val="0000FF"/>
                      <w:szCs w:val="24"/>
                    </w:rPr>
                    <w:t>；</w:t>
                  </w:r>
                </w:p>
                <w:p>
                  <w:pPr>
                    <w:widowControl/>
                    <w:rPr>
                      <w:color w:val="0000FF"/>
                      <w:szCs w:val="24"/>
                    </w:rPr>
                  </w:pPr>
                  <w:r>
                    <w:rPr>
                      <w:rFonts w:hint="eastAsia"/>
                      <w:color w:val="0000FF"/>
                      <w:szCs w:val="24"/>
                    </w:rPr>
                    <w:t>（4）每个月进行例行检查，</w:t>
                  </w:r>
                  <w:r>
                    <w:rPr>
                      <w:rFonts w:hint="eastAsia" w:hAnsi="宋体" w:cs="宋体"/>
                      <w:color w:val="0000FF"/>
                      <w:szCs w:val="24"/>
                    </w:rPr>
                    <w:t>发现故障及时上报采购人主管部门。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13" w:hRule="atLeast"/>
              </w:trPr>
              <w:tc>
                <w:tcPr>
                  <w:tcW w:w="762" w:type="dxa"/>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color w:val="000000"/>
                      <w:szCs w:val="24"/>
                    </w:rPr>
                  </w:pPr>
                  <w:r>
                    <w:rPr>
                      <w:rFonts w:hint="eastAsia" w:hAnsi="宋体" w:cs="宋体"/>
                      <w:color w:val="000000"/>
                      <w:szCs w:val="24"/>
                    </w:rPr>
                    <w:t>6</w:t>
                  </w:r>
                </w:p>
              </w:tc>
              <w:tc>
                <w:tcPr>
                  <w:tcW w:w="1590" w:type="dxa"/>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color w:val="000000"/>
                      <w:szCs w:val="24"/>
                    </w:rPr>
                  </w:pPr>
                  <w:r>
                    <w:rPr>
                      <w:rFonts w:hint="eastAsia" w:hAnsi="宋体" w:cs="宋体"/>
                      <w:color w:val="000000"/>
                      <w:szCs w:val="24"/>
                    </w:rPr>
                    <w:t>水样监测</w:t>
                  </w:r>
                </w:p>
              </w:tc>
              <w:tc>
                <w:tcPr>
                  <w:tcW w:w="4720" w:type="dxa"/>
                  <w:tcBorders>
                    <w:top w:val="single" w:color="auto" w:sz="4" w:space="0"/>
                    <w:left w:val="single" w:color="auto" w:sz="4" w:space="0"/>
                    <w:bottom w:val="single" w:color="auto" w:sz="4" w:space="0"/>
                    <w:right w:val="single" w:color="auto" w:sz="4" w:space="0"/>
                  </w:tcBorders>
                  <w:vAlign w:val="center"/>
                </w:tcPr>
                <w:p>
                  <w:pPr>
                    <w:widowControl/>
                    <w:numPr>
                      <w:ilvl w:val="0"/>
                      <w:numId w:val="7"/>
                    </w:numPr>
                    <w:rPr>
                      <w:rFonts w:hAnsi="宋体" w:cs="宋体"/>
                      <w:color w:val="000000"/>
                      <w:szCs w:val="24"/>
                    </w:rPr>
                  </w:pPr>
                  <w:r>
                    <w:rPr>
                      <w:rFonts w:hint="eastAsia" w:hAnsi="宋体" w:cs="宋体"/>
                      <w:color w:val="000000"/>
                      <w:szCs w:val="24"/>
                    </w:rPr>
                    <w:t>每天监测项目：pH、总余氯，做好监测记录，每日进行不少于4次；</w:t>
                  </w:r>
                </w:p>
                <w:p>
                  <w:pPr>
                    <w:widowControl/>
                    <w:numPr>
                      <w:ilvl w:val="0"/>
                      <w:numId w:val="7"/>
                    </w:numPr>
                    <w:rPr>
                      <w:rFonts w:hAnsi="宋体" w:cs="宋体"/>
                      <w:color w:val="000000"/>
                      <w:szCs w:val="24"/>
                    </w:rPr>
                  </w:pPr>
                  <w:r>
                    <w:rPr>
                      <w:rFonts w:hint="eastAsia" w:hAnsi="宋体" w:cs="宋体"/>
                      <w:color w:val="000000"/>
                      <w:szCs w:val="24"/>
                    </w:rPr>
                    <w:t>采样点：排放口。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62" w:type="dxa"/>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color w:val="000000"/>
                      <w:szCs w:val="24"/>
                    </w:rPr>
                  </w:pPr>
                  <w:r>
                    <w:rPr>
                      <w:rFonts w:hint="eastAsia" w:hAnsi="宋体" w:cs="宋体"/>
                      <w:color w:val="000000"/>
                      <w:szCs w:val="24"/>
                    </w:rPr>
                    <w:t>7</w:t>
                  </w:r>
                </w:p>
              </w:tc>
              <w:tc>
                <w:tcPr>
                  <w:tcW w:w="1590" w:type="dxa"/>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color w:val="000000"/>
                      <w:szCs w:val="24"/>
                    </w:rPr>
                  </w:pPr>
                  <w:r>
                    <w:rPr>
                      <w:rFonts w:hint="eastAsia" w:hAnsi="宋体" w:cs="宋体"/>
                      <w:color w:val="000000"/>
                      <w:szCs w:val="24"/>
                    </w:rPr>
                    <w:t>其它</w:t>
                  </w:r>
                </w:p>
              </w:tc>
              <w:tc>
                <w:tcPr>
                  <w:tcW w:w="4720" w:type="dxa"/>
                  <w:tcBorders>
                    <w:top w:val="single" w:color="auto" w:sz="4" w:space="0"/>
                    <w:left w:val="single" w:color="auto" w:sz="4" w:space="0"/>
                    <w:bottom w:val="single" w:color="auto" w:sz="4" w:space="0"/>
                    <w:right w:val="single" w:color="auto" w:sz="4" w:space="0"/>
                  </w:tcBorders>
                  <w:vAlign w:val="center"/>
                </w:tcPr>
                <w:p>
                  <w:pPr>
                    <w:widowControl/>
                    <w:numPr>
                      <w:ilvl w:val="0"/>
                      <w:numId w:val="8"/>
                    </w:numPr>
                    <w:tabs>
                      <w:tab w:val="left" w:pos="312"/>
                    </w:tabs>
                    <w:rPr>
                      <w:rFonts w:hAnsi="宋体" w:cs="宋体"/>
                      <w:color w:val="000000"/>
                      <w:szCs w:val="24"/>
                    </w:rPr>
                  </w:pPr>
                  <w:r>
                    <w:rPr>
                      <w:rFonts w:hint="eastAsia" w:hAnsi="宋体" w:cs="宋体"/>
                      <w:color w:val="000000"/>
                      <w:szCs w:val="24"/>
                    </w:rPr>
                    <w:t>保持污水处理站区内卫生、整洁，定期打扫；</w:t>
                  </w:r>
                </w:p>
                <w:p>
                  <w:pPr>
                    <w:widowControl/>
                    <w:numPr>
                      <w:ilvl w:val="0"/>
                      <w:numId w:val="8"/>
                    </w:numPr>
                    <w:tabs>
                      <w:tab w:val="left" w:pos="312"/>
                    </w:tabs>
                    <w:rPr>
                      <w:rFonts w:hAnsi="宋体" w:cs="宋体"/>
                      <w:color w:val="000000"/>
                      <w:szCs w:val="24"/>
                    </w:rPr>
                  </w:pPr>
                  <w:r>
                    <w:rPr>
                      <w:rFonts w:hint="eastAsia" w:hAnsi="宋体" w:cs="宋体"/>
                      <w:color w:val="000000"/>
                      <w:szCs w:val="24"/>
                    </w:rPr>
                    <w:t>定期检查和紧固各种设备连接件；</w:t>
                  </w:r>
                </w:p>
                <w:p>
                  <w:pPr>
                    <w:widowControl/>
                    <w:numPr>
                      <w:ilvl w:val="0"/>
                      <w:numId w:val="8"/>
                    </w:numPr>
                    <w:tabs>
                      <w:tab w:val="left" w:pos="312"/>
                    </w:tabs>
                    <w:rPr>
                      <w:rFonts w:hAnsi="宋体" w:cs="宋体"/>
                      <w:color w:val="000000"/>
                      <w:szCs w:val="24"/>
                    </w:rPr>
                  </w:pPr>
                  <w:r>
                    <w:rPr>
                      <w:rFonts w:hint="eastAsia" w:hAnsi="宋体" w:cs="宋体"/>
                      <w:color w:val="000000"/>
                      <w:szCs w:val="24"/>
                    </w:rPr>
                    <w:t>负责对</w:t>
                  </w:r>
                  <w:r>
                    <w:rPr>
                      <w:rFonts w:hint="eastAsia" w:hAnsi="宋体" w:cs="宋体"/>
                      <w:color w:val="000000"/>
                      <w:szCs w:val="24"/>
                      <w:lang w:val="en-US" w:eastAsia="zh-CN"/>
                    </w:rPr>
                    <w:t>药剂</w:t>
                  </w:r>
                  <w:r>
                    <w:rPr>
                      <w:rFonts w:hint="eastAsia" w:hAnsi="宋体" w:cs="宋体"/>
                      <w:color w:val="000000"/>
                      <w:szCs w:val="24"/>
                    </w:rPr>
                    <w:t>仓库进行</w:t>
                  </w:r>
                  <w:r>
                    <w:rPr>
                      <w:rFonts w:hint="eastAsia" w:hAnsi="宋体" w:cs="宋体"/>
                      <w:color w:val="000000"/>
                      <w:szCs w:val="24"/>
                      <w:lang w:val="en-US" w:eastAsia="zh-CN"/>
                    </w:rPr>
                    <w:t>巡查、</w:t>
                  </w:r>
                  <w:r>
                    <w:rPr>
                      <w:rFonts w:hint="eastAsia" w:hAnsi="宋体" w:cs="宋体"/>
                      <w:color w:val="000000"/>
                      <w:szCs w:val="24"/>
                    </w:rPr>
                    <w:t>管理；</w:t>
                  </w:r>
                </w:p>
                <w:p>
                  <w:pPr>
                    <w:widowControl/>
                    <w:numPr>
                      <w:ilvl w:val="0"/>
                      <w:numId w:val="8"/>
                    </w:numPr>
                    <w:tabs>
                      <w:tab w:val="left" w:pos="312"/>
                    </w:tabs>
                    <w:rPr>
                      <w:rFonts w:hAnsi="宋体" w:cs="宋体"/>
                      <w:color w:val="000000"/>
                      <w:szCs w:val="24"/>
                    </w:rPr>
                  </w:pPr>
                  <w:r>
                    <w:rPr>
                      <w:rFonts w:hint="eastAsia"/>
                      <w:highlight w:val="none"/>
                    </w:rPr>
                    <w:t>每周对污水管理和处置进行自查、分析，形成自查报告</w:t>
                  </w:r>
                  <w:r>
                    <w:rPr>
                      <w:rFonts w:hint="eastAsia" w:hAnsi="宋体" w:cs="宋体"/>
                      <w:color w:val="000000"/>
                      <w:szCs w:val="24"/>
                    </w:rPr>
                    <w:t>；</w:t>
                  </w:r>
                </w:p>
                <w:p>
                  <w:pPr>
                    <w:widowControl/>
                    <w:numPr>
                      <w:ilvl w:val="0"/>
                      <w:numId w:val="8"/>
                    </w:numPr>
                    <w:tabs>
                      <w:tab w:val="left" w:pos="312"/>
                    </w:tabs>
                    <w:rPr>
                      <w:rFonts w:hAnsi="宋体" w:cs="宋体"/>
                      <w:color w:val="000000"/>
                      <w:szCs w:val="24"/>
                    </w:rPr>
                  </w:pPr>
                  <w:r>
                    <w:rPr>
                      <w:rFonts w:hint="eastAsia" w:hAnsi="宋体" w:cs="宋体"/>
                      <w:color w:val="000000"/>
                      <w:szCs w:val="24"/>
                    </w:rPr>
                    <w:t>每月检查设备类型、编号、就位状况与记录情况一致；</w:t>
                  </w:r>
                </w:p>
                <w:p>
                  <w:pPr>
                    <w:widowControl/>
                    <w:numPr>
                      <w:ilvl w:val="0"/>
                      <w:numId w:val="8"/>
                    </w:numPr>
                    <w:tabs>
                      <w:tab w:val="left" w:pos="312"/>
                    </w:tabs>
                    <w:rPr>
                      <w:rFonts w:hAnsi="宋体" w:cs="宋体"/>
                      <w:color w:val="000000"/>
                      <w:szCs w:val="24"/>
                    </w:rPr>
                  </w:pPr>
                  <w:r>
                    <w:rPr>
                      <w:rFonts w:hint="eastAsia" w:hAnsi="宋体" w:cs="宋体"/>
                      <w:color w:val="000000"/>
                      <w:szCs w:val="24"/>
                    </w:rPr>
                    <w:t>协助采购人参与</w:t>
                  </w:r>
                  <w:r>
                    <w:rPr>
                      <w:rFonts w:hint="eastAsia" w:hAnsi="宋体" w:cs="宋体"/>
                      <w:color w:val="000000"/>
                      <w:szCs w:val="24"/>
                      <w:highlight w:val="none"/>
                    </w:rPr>
                    <w:t>上级相关部门的</w:t>
                  </w:r>
                  <w:r>
                    <w:rPr>
                      <w:rFonts w:hint="eastAsia" w:hAnsi="宋体" w:cs="宋体"/>
                      <w:color w:val="000000"/>
                      <w:szCs w:val="24"/>
                    </w:rPr>
                    <w:t>检查；</w:t>
                  </w:r>
                </w:p>
                <w:p>
                  <w:pPr>
                    <w:widowControl/>
                    <w:numPr>
                      <w:ilvl w:val="0"/>
                      <w:numId w:val="8"/>
                    </w:numPr>
                    <w:tabs>
                      <w:tab w:val="left" w:pos="312"/>
                    </w:tabs>
                    <w:rPr>
                      <w:rFonts w:hAnsi="宋体" w:cs="宋体"/>
                      <w:color w:val="000000"/>
                      <w:szCs w:val="24"/>
                    </w:rPr>
                  </w:pPr>
                  <w:r>
                    <w:rPr>
                      <w:rFonts w:hint="eastAsia" w:hAnsi="宋体" w:cs="宋体"/>
                      <w:color w:val="000000"/>
                      <w:szCs w:val="24"/>
                    </w:rPr>
                    <w:t>负责污水处理突发应急事件的统筹处理；</w:t>
                  </w:r>
                </w:p>
                <w:p>
                  <w:pPr>
                    <w:widowControl/>
                    <w:numPr>
                      <w:ilvl w:val="0"/>
                      <w:numId w:val="8"/>
                    </w:numPr>
                    <w:tabs>
                      <w:tab w:val="left" w:pos="312"/>
                    </w:tabs>
                    <w:rPr>
                      <w:rFonts w:hAnsi="宋体" w:cs="宋体"/>
                      <w:color w:val="000000"/>
                      <w:szCs w:val="24"/>
                    </w:rPr>
                  </w:pPr>
                  <w:r>
                    <w:rPr>
                      <w:rFonts w:hint="eastAsia" w:hAnsi="宋体" w:cs="宋体"/>
                      <w:color w:val="000000"/>
                      <w:szCs w:val="24"/>
                    </w:rPr>
                    <w:t>熟悉掌握医院污水排放要求政策，及时与采购人沟通调整；</w:t>
                  </w:r>
                </w:p>
                <w:p>
                  <w:pPr>
                    <w:widowControl/>
                    <w:numPr>
                      <w:ilvl w:val="0"/>
                      <w:numId w:val="8"/>
                    </w:numPr>
                    <w:tabs>
                      <w:tab w:val="left" w:pos="312"/>
                    </w:tabs>
                    <w:rPr>
                      <w:rFonts w:hAnsi="宋体" w:cs="宋体"/>
                      <w:color w:val="000000"/>
                      <w:szCs w:val="24"/>
                    </w:rPr>
                  </w:pPr>
                  <w:r>
                    <w:rPr>
                      <w:rFonts w:hint="eastAsia" w:hAnsi="宋体" w:cs="宋体"/>
                      <w:color w:val="000000"/>
                      <w:szCs w:val="24"/>
                    </w:rPr>
                    <w:t>参与采购人会议及时跟踪处理污水站问题；</w:t>
                  </w:r>
                </w:p>
                <w:p>
                  <w:pPr>
                    <w:widowControl/>
                    <w:numPr>
                      <w:ilvl w:val="0"/>
                      <w:numId w:val="8"/>
                    </w:numPr>
                    <w:tabs>
                      <w:tab w:val="left" w:pos="312"/>
                    </w:tabs>
                    <w:rPr>
                      <w:rFonts w:hAnsi="宋体" w:cs="宋体"/>
                      <w:color w:val="000000"/>
                      <w:szCs w:val="24"/>
                    </w:rPr>
                  </w:pPr>
                  <w:r>
                    <w:rPr>
                      <w:rFonts w:hint="eastAsia" w:hAnsi="宋体" w:cs="宋体"/>
                      <w:color w:val="000000"/>
                      <w:szCs w:val="24"/>
                    </w:rPr>
                    <w:t>制定内部应急预案；</w:t>
                  </w:r>
                </w:p>
                <w:p>
                  <w:pPr>
                    <w:widowControl/>
                    <w:numPr>
                      <w:ilvl w:val="0"/>
                      <w:numId w:val="8"/>
                    </w:numPr>
                    <w:tabs>
                      <w:tab w:val="left" w:pos="312"/>
                    </w:tabs>
                    <w:rPr>
                      <w:rFonts w:hAnsi="宋体" w:cs="宋体"/>
                      <w:color w:val="000000"/>
                      <w:szCs w:val="24"/>
                    </w:rPr>
                  </w:pPr>
                  <w:r>
                    <w:rPr>
                      <w:rFonts w:hint="eastAsia" w:hAnsi="宋体" w:cs="宋体"/>
                      <w:color w:val="000000"/>
                      <w:szCs w:val="24"/>
                    </w:rPr>
                    <w:t>负责污水站人员的技术培训；</w:t>
                  </w:r>
                </w:p>
                <w:p>
                  <w:pPr>
                    <w:widowControl/>
                    <w:numPr>
                      <w:ilvl w:val="0"/>
                      <w:numId w:val="8"/>
                    </w:numPr>
                    <w:tabs>
                      <w:tab w:val="left" w:pos="312"/>
                    </w:tabs>
                    <w:rPr>
                      <w:rFonts w:hAnsi="宋体" w:cs="宋体"/>
                      <w:color w:val="000000"/>
                      <w:szCs w:val="24"/>
                    </w:rPr>
                  </w:pPr>
                  <w:r>
                    <w:rPr>
                      <w:rFonts w:hint="eastAsia" w:hAnsi="宋体" w:cs="宋体"/>
                      <w:color w:val="000000"/>
                      <w:szCs w:val="24"/>
                    </w:rPr>
                    <w:t>负责建立健全规范的管理档案、设备运行档案、设备维保档案。</w:t>
                  </w:r>
                </w:p>
              </w:tc>
            </w:tr>
          </w:tbl>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center"/>
              <w:textAlignment w:val="auto"/>
              <w:rPr>
                <w:rFonts w:hint="eastAsia" w:ascii="宋体" w:hAnsi="宋体" w:eastAsia="宋体" w:cs="宋体"/>
                <w:color w:val="auto"/>
                <w:kern w:val="0"/>
                <w:sz w:val="21"/>
                <w:szCs w:val="21"/>
                <w:highlight w:val="none"/>
                <w:lang w:val="zh-CN"/>
              </w:rPr>
            </w:pPr>
          </w:p>
        </w:tc>
        <w:tc>
          <w:tcPr>
            <w:tcW w:w="1118"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c>
          <w:tcPr>
            <w:tcW w:w="1119"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95"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ind w:left="0" w:leftChars="0" w:firstLine="0" w:firstLineChars="0"/>
              <w:jc w:val="center"/>
              <w:textAlignment w:val="auto"/>
              <w:rPr>
                <w:rFonts w:hint="default"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2</w:t>
            </w:r>
          </w:p>
        </w:tc>
        <w:tc>
          <w:tcPr>
            <w:tcW w:w="7329" w:type="dxa"/>
            <w:vAlign w:val="center"/>
          </w:tcPr>
          <w:p>
            <w:pPr>
              <w:pStyle w:val="19"/>
              <w:numPr>
                <w:ilvl w:val="0"/>
                <w:numId w:val="0"/>
              </w:numPr>
              <w:spacing w:line="360" w:lineRule="auto"/>
              <w:ind w:firstLine="210" w:firstLineChars="100"/>
              <w:rPr>
                <w:rFonts w:hint="eastAsia" w:hAnsi="宋体"/>
                <w:highlight w:val="none"/>
              </w:rPr>
            </w:pPr>
            <w:r>
              <w:rPr>
                <w:rFonts w:hint="eastAsia" w:hAnsi="宋体"/>
                <w:highlight w:val="none"/>
              </w:rPr>
              <w:t>人员配置要求：</w:t>
            </w:r>
          </w:p>
          <w:p>
            <w:pPr>
              <w:pStyle w:val="19"/>
              <w:numPr>
                <w:ilvl w:val="0"/>
                <w:numId w:val="0"/>
              </w:numPr>
              <w:spacing w:line="360" w:lineRule="auto"/>
              <w:ind w:firstLine="210" w:firstLineChars="100"/>
              <w:rPr>
                <w:rFonts w:hint="eastAsia" w:ascii="宋体" w:hAnsi="宋体" w:eastAsia="宋体" w:cs="宋体"/>
                <w:color w:val="auto"/>
                <w:kern w:val="0"/>
                <w:sz w:val="21"/>
                <w:szCs w:val="21"/>
                <w:highlight w:val="none"/>
                <w:lang w:val="zh-CN" w:eastAsia="zh-CN"/>
              </w:rPr>
            </w:pPr>
            <w:r>
              <w:rPr>
                <w:rFonts w:hint="eastAsia" w:hAnsi="宋体"/>
                <w:highlight w:val="none"/>
              </w:rPr>
              <w:t>成交供应商应委派固定的具备相关资质专业技术人员并持《</w:t>
            </w:r>
            <w:r>
              <w:rPr>
                <w:rFonts w:hint="eastAsia" w:hAnsi="宋体"/>
                <w:highlight w:val="none"/>
                <w:lang w:val="en-US" w:eastAsia="zh-CN"/>
              </w:rPr>
              <w:t>污水处理工职业资格证书</w:t>
            </w:r>
            <w:r>
              <w:rPr>
                <w:rFonts w:hint="eastAsia" w:hAnsi="宋体"/>
                <w:highlight w:val="none"/>
              </w:rPr>
              <w:t>》</w:t>
            </w:r>
            <w:r>
              <w:rPr>
                <w:rFonts w:hint="eastAsia" w:hAnsi="宋体"/>
                <w:highlight w:val="none"/>
                <w:lang w:val="en-US" w:eastAsia="zh-CN"/>
              </w:rPr>
              <w:t>或《</w:t>
            </w:r>
            <w:r>
              <w:rPr>
                <w:rFonts w:hint="eastAsia" w:hAnsi="宋体"/>
                <w:highlight w:val="none"/>
                <w:lang w:val="en-US" w:eastAsia="zh-CN"/>
              </w:rPr>
              <w:fldChar w:fldCharType="begin"/>
            </w:r>
            <w:r>
              <w:rPr>
                <w:rFonts w:hint="eastAsia" w:hAnsi="宋体"/>
                <w:highlight w:val="none"/>
                <w:lang w:val="en-US" w:eastAsia="zh-CN"/>
              </w:rPr>
              <w:instrText xml:space="preserve"> HYPERLINK "https://baike.baidu.com/item/%E5%B7%A5%E4%B8%9A%E5%BA%9F%E6%B0%B4%E5%A4%84%E7%90%86%E5%B7%A5/23613871" \t "https://baike.baidu.com/item/%E6%B1%A1%E6%B0%B4%EF%BC%88%E5%BA%9F%E6%B0%B4%EF%BC%89%E5%A4%84%E7%90%86%E5%B7%A5%E8%81%8C%E4%B8%9A%E8%B5%84%E6%A0%BC%E8%AF%81%E4%B9%A6/_blank" </w:instrText>
            </w:r>
            <w:r>
              <w:rPr>
                <w:rFonts w:hint="eastAsia" w:hAnsi="宋体"/>
                <w:highlight w:val="none"/>
                <w:lang w:val="en-US" w:eastAsia="zh-CN"/>
              </w:rPr>
              <w:fldChar w:fldCharType="separate"/>
            </w:r>
            <w:r>
              <w:rPr>
                <w:rFonts w:hint="eastAsia" w:hAnsi="宋体"/>
                <w:highlight w:val="none"/>
                <w:lang w:val="en-US" w:eastAsia="zh-CN"/>
              </w:rPr>
              <w:t>工业废水处理工</w:t>
            </w:r>
            <w:r>
              <w:rPr>
                <w:rFonts w:hint="eastAsia" w:hAnsi="宋体"/>
                <w:highlight w:val="none"/>
                <w:lang w:val="en-US" w:eastAsia="zh-CN"/>
              </w:rPr>
              <w:fldChar w:fldCharType="end"/>
            </w:r>
            <w:r>
              <w:rPr>
                <w:rFonts w:hint="eastAsia" w:hAnsi="宋体"/>
                <w:highlight w:val="none"/>
                <w:lang w:val="en-US" w:eastAsia="zh-CN"/>
              </w:rPr>
              <w:t>职业资格证书》</w:t>
            </w:r>
            <w:r>
              <w:rPr>
                <w:rFonts w:hint="eastAsia" w:hAnsi="宋体"/>
                <w:highlight w:val="none"/>
              </w:rPr>
              <w:t>上岗</w:t>
            </w:r>
            <w:r>
              <w:rPr>
                <w:rFonts w:hint="eastAsia" w:hAnsi="宋体" w:cs="宋体"/>
                <w:highlight w:val="none"/>
              </w:rPr>
              <w:t>驻场</w:t>
            </w:r>
            <w:r>
              <w:rPr>
                <w:rFonts w:hint="eastAsia" w:hAnsi="宋体"/>
                <w:highlight w:val="none"/>
              </w:rPr>
              <w:t>负责采购人的污水处理站运营管理工作，</w:t>
            </w:r>
            <w:r>
              <w:rPr>
                <w:rFonts w:hint="eastAsia" w:hAnsi="宋体"/>
                <w:highlight w:val="none"/>
                <w:lang w:val="en-US" w:eastAsia="zh-CN"/>
              </w:rPr>
              <w:t>委派的工作</w:t>
            </w:r>
            <w:r>
              <w:rPr>
                <w:rFonts w:hint="eastAsia" w:hAnsi="宋体"/>
                <w:szCs w:val="21"/>
                <w:highlight w:val="none"/>
              </w:rPr>
              <w:t>人员应具有初中及以上文化。</w:t>
            </w:r>
            <w:r>
              <w:rPr>
                <w:rFonts w:hint="eastAsia" w:hAnsi="宋体"/>
                <w:highlight w:val="none"/>
              </w:rPr>
              <w:t>成交供应商必须将公司的资质证书复印件和技术人员上岗证复印件交给采购人存档备案；如果遇到驻守人员无法解决的问题时，成交供应商应尽一切能力为本项目提供技术和设备支持。</w:t>
            </w:r>
          </w:p>
        </w:tc>
        <w:tc>
          <w:tcPr>
            <w:tcW w:w="1118"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119"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95"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ind w:left="0" w:leftChars="0" w:firstLine="0" w:firstLineChars="0"/>
              <w:jc w:val="center"/>
              <w:textAlignment w:val="auto"/>
              <w:rPr>
                <w:rFonts w:hint="default"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3</w:t>
            </w:r>
          </w:p>
        </w:tc>
        <w:tc>
          <w:tcPr>
            <w:tcW w:w="732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left"/>
              <w:textAlignment w:val="auto"/>
              <w:rPr>
                <w:rFonts w:hint="eastAsia" w:hAnsi="宋体" w:cs="宋体"/>
                <w:bCs/>
              </w:rPr>
            </w:pPr>
            <w:r>
              <w:rPr>
                <w:rFonts w:hint="eastAsia" w:hAnsi="宋体" w:cs="宋体"/>
                <w:shd w:val="clear" w:color="auto" w:fill="FFFFFF"/>
              </w:rPr>
              <w:t>人员</w:t>
            </w:r>
            <w:r>
              <w:rPr>
                <w:rFonts w:hint="eastAsia" w:hAnsi="宋体" w:cs="宋体"/>
              </w:rPr>
              <w:t>稳定性要求：</w:t>
            </w:r>
          </w:p>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left"/>
              <w:textAlignment w:val="auto"/>
              <w:rPr>
                <w:rFonts w:hint="default" w:ascii="宋体" w:hAnsi="宋体" w:eastAsia="宋体" w:cs="宋体"/>
                <w:color w:val="auto"/>
                <w:kern w:val="0"/>
                <w:sz w:val="21"/>
                <w:szCs w:val="21"/>
                <w:highlight w:val="none"/>
                <w:lang w:val="en-US" w:eastAsia="zh-CN"/>
              </w:rPr>
            </w:pPr>
            <w:r>
              <w:rPr>
                <w:rFonts w:hint="eastAsia" w:hAnsi="宋体" w:cs="宋体"/>
                <w:bCs/>
              </w:rPr>
              <w:t>成交供应商应确保人员的稳定性，经采购人认可的</w:t>
            </w:r>
            <w:r>
              <w:rPr>
                <w:rFonts w:hint="eastAsia" w:hAnsi="宋体" w:cs="宋体"/>
                <w:bCs/>
                <w:lang w:val="en-US" w:eastAsia="zh-CN"/>
              </w:rPr>
              <w:t>工作</w:t>
            </w:r>
            <w:r>
              <w:rPr>
                <w:rFonts w:hint="eastAsia" w:hAnsi="宋体" w:cs="宋体"/>
                <w:bCs/>
              </w:rPr>
              <w:t>人员不得随意频繁更换，如因成交供应商原因需更换的，需向采购人提出书面更换申请并经采购人同意后方可进行更换，且不得影响维保服务工作的正常开展。</w:t>
            </w:r>
          </w:p>
        </w:tc>
        <w:tc>
          <w:tcPr>
            <w:tcW w:w="1118"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119"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95" w:type="dxa"/>
            <w:vAlign w:val="center"/>
          </w:tcPr>
          <w:p>
            <w:pPr>
              <w:pStyle w:val="20"/>
              <w:keepNext w:val="0"/>
              <w:keepLines w:val="0"/>
              <w:pageBreakBefore w:val="0"/>
              <w:widowControl w:val="0"/>
              <w:numPr>
                <w:ilvl w:val="0"/>
                <w:numId w:val="0"/>
              </w:numPr>
              <w:tabs>
                <w:tab w:val="left" w:pos="363"/>
              </w:tabs>
              <w:kinsoku/>
              <w:wordWrap/>
              <w:overflowPunct/>
              <w:topLinePunct w:val="0"/>
              <w:autoSpaceDE/>
              <w:autoSpaceDN/>
              <w:bidi w:val="0"/>
              <w:adjustRightInd/>
              <w:snapToGrid/>
              <w:spacing w:after="0"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4</w:t>
            </w:r>
          </w:p>
        </w:tc>
        <w:tc>
          <w:tcPr>
            <w:tcW w:w="732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left"/>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不能胜任的工作人员应及时更换。</w:t>
            </w:r>
          </w:p>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left"/>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如果成交供应商委派的工作人员不符合要求（有事实依据证明不能胜任该岗位）的，采购人有权要求成交供应商更换人员至合格为止。成交供应商接到采购人书面换人通知后，应在1周内更换合格的人员到位，逾期不更换或更换的人员仍不符合要求的，成交供应商有权扣减该月的服务费，直至合格人员到位为止。</w:t>
            </w:r>
          </w:p>
        </w:tc>
        <w:tc>
          <w:tcPr>
            <w:tcW w:w="1118"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119"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5</w:t>
            </w:r>
          </w:p>
        </w:tc>
        <w:tc>
          <w:tcPr>
            <w:tcW w:w="732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left"/>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成交供应商需按国家法律、法规的相关规定，为指派在采购人处工作的员工办理劳动用工手续，并承担保险、工资、劳保福利及其它一切费用，因违法用工造成的法律后果全部由成交供应商承担。</w:t>
            </w:r>
          </w:p>
        </w:tc>
        <w:tc>
          <w:tcPr>
            <w:tcW w:w="1118"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c>
          <w:tcPr>
            <w:tcW w:w="1119"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6</w:t>
            </w:r>
          </w:p>
        </w:tc>
        <w:tc>
          <w:tcPr>
            <w:tcW w:w="732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left"/>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成交供应商应切实加强现场管理,并接受采购人的监督管理，确保服务到位。成交供应商确保在采购人单位内的作业符合国家和地方的安全作业规范，并负责工作人员的人身意外险及其它意外风险。由于成交供应商原因造成安全事故的发生，一切责任及损失由成交供应商负责。</w:t>
            </w:r>
          </w:p>
        </w:tc>
        <w:tc>
          <w:tcPr>
            <w:tcW w:w="1118"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119"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7</w:t>
            </w:r>
          </w:p>
        </w:tc>
        <w:tc>
          <w:tcPr>
            <w:tcW w:w="732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left"/>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成交供应商不得擅自闲置或人为损坏污水处理设施，并应做好设施围蔽、标识等工作。否则，采购人有权解除合同，由此造成的所有损失由成交供应商承担。</w:t>
            </w:r>
          </w:p>
        </w:tc>
        <w:tc>
          <w:tcPr>
            <w:tcW w:w="1118"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119"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8</w:t>
            </w:r>
          </w:p>
        </w:tc>
        <w:tc>
          <w:tcPr>
            <w:tcW w:w="732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center"/>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成交供应商驻守的工作人员应遵守采购人的各项规章制度及疫情防控要求，服从指挥，配合现有污水运营公司的管理及采购人的工作要求对污水处理站进行统一运作，积极响应采购人的疫情防控措施，接受采购人的质量监督和检查。</w:t>
            </w:r>
          </w:p>
        </w:tc>
        <w:tc>
          <w:tcPr>
            <w:tcW w:w="1118"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119"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0" w:hRule="atLeast"/>
          <w:jc w:val="center"/>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9</w:t>
            </w:r>
          </w:p>
        </w:tc>
        <w:tc>
          <w:tcPr>
            <w:tcW w:w="732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center"/>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由采购人每月对成交供应商的服务质量进行监督考核（详见附表一《污水处理站运营管理服务质量考评表》），考核结果与当月的服务费挂钩，成交供应商应积极配合采购人的监督和考评，不得以任何理由拒绝或阻挠采购人的考核。</w:t>
            </w:r>
          </w:p>
        </w:tc>
        <w:tc>
          <w:tcPr>
            <w:tcW w:w="1118"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119"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10</w:t>
            </w:r>
          </w:p>
        </w:tc>
        <w:tc>
          <w:tcPr>
            <w:tcW w:w="732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both"/>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考</w:t>
            </w:r>
            <w:r>
              <w:rPr>
                <w:rFonts w:hint="eastAsia" w:ascii="宋体" w:hAnsi="宋体" w:eastAsia="宋体" w:cs="宋体"/>
                <w:color w:val="auto"/>
                <w:kern w:val="0"/>
                <w:sz w:val="21"/>
                <w:szCs w:val="21"/>
                <w:highlight w:val="none"/>
                <w:lang w:val="zh-CN" w:eastAsia="zh-CN"/>
              </w:rPr>
              <w:t>评要求：考评总分为100分，考评分按实际考评得分计算。考核结果≥90分的为合格；考核结果为80-89分的，成交供应商应对存在的问题限时整改，同一问题连续出现两次的，采购人有权对成交供应商按500元/分进行扣罚；考核结果为70-79分的，采购人有权对成交供应商按1000元/分进行扣罚，如果成交供应商连续2个月服务质量低于75分或因成交供应商的责任发生安全事件且造成严重后果的，采购人有权拒绝支付服务费且单方提前终止合同，并继续追究成交供应商相关责任。</w:t>
            </w:r>
          </w:p>
        </w:tc>
        <w:tc>
          <w:tcPr>
            <w:tcW w:w="1118"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119"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11</w:t>
            </w:r>
          </w:p>
        </w:tc>
        <w:tc>
          <w:tcPr>
            <w:tcW w:w="732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both"/>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如果成交供应商未按要求落实运营管理服务工作，存在弄虚作假行为的，采购人有权进行相应的扣罚：第一次发现扣罚500元，第二次发现2倍扣罚，第三次发现3倍扣罚，以此类推。</w:t>
            </w:r>
          </w:p>
        </w:tc>
        <w:tc>
          <w:tcPr>
            <w:tcW w:w="1118"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119"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732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both"/>
              <w:textAlignment w:val="auto"/>
              <w:rPr>
                <w:rFonts w:hint="eastAsia" w:ascii="宋体" w:hAnsi="宋体" w:eastAsia="宋体" w:cs="宋体"/>
                <w:color w:val="auto"/>
                <w:kern w:val="0"/>
                <w:sz w:val="21"/>
                <w:szCs w:val="21"/>
                <w:highlight w:val="none"/>
                <w:lang w:val="zh-CN" w:eastAsia="zh-CN"/>
              </w:rPr>
            </w:pPr>
          </w:p>
        </w:tc>
        <w:tc>
          <w:tcPr>
            <w:tcW w:w="1118"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119"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bl>
    <w:p>
      <w:pPr>
        <w:keepNext w:val="0"/>
        <w:keepLines w:val="0"/>
        <w:pageBreakBefore w:val="0"/>
        <w:numPr>
          <w:ilvl w:val="0"/>
          <w:numId w:val="0"/>
        </w:numPr>
        <w:kinsoku/>
        <w:topLinePunct w:val="0"/>
        <w:bidi w:val="0"/>
        <w:spacing w:line="500" w:lineRule="exact"/>
        <w:textAlignment w:val="auto"/>
        <w:rPr>
          <w:rFonts w:hint="eastAsia" w:ascii="宋体" w:hAnsi="宋体" w:eastAsia="宋体" w:cs="宋体"/>
          <w:b/>
          <w:color w:val="000000" w:themeColor="text1"/>
          <w:sz w:val="24"/>
          <w:highlight w:val="none"/>
          <w14:textFill>
            <w14:solidFill>
              <w14:schemeClr w14:val="tx1"/>
            </w14:solidFill>
          </w14:textFill>
        </w:rPr>
      </w:pPr>
    </w:p>
    <w:p>
      <w:pPr>
        <w:keepNext w:val="0"/>
        <w:keepLines w:val="0"/>
        <w:pageBreakBefore w:val="0"/>
        <w:numPr>
          <w:ilvl w:val="0"/>
          <w:numId w:val="0"/>
        </w:numPr>
        <w:kinsoku/>
        <w:topLinePunct w:val="0"/>
        <w:bidi w:val="0"/>
        <w:spacing w:line="500" w:lineRule="exact"/>
        <w:textAlignment w:val="auto"/>
        <w:rPr>
          <w:rFonts w:hint="eastAsia" w:ascii="宋体" w:hAnsi="宋体" w:eastAsia="宋体" w:cs="宋体"/>
          <w:b/>
          <w:color w:val="000000" w:themeColor="text1"/>
          <w:sz w:val="24"/>
          <w:highlight w:val="none"/>
          <w14:textFill>
            <w14:solidFill>
              <w14:schemeClr w14:val="tx1"/>
            </w14:solidFill>
          </w14:textFill>
        </w:rPr>
      </w:pPr>
    </w:p>
    <w:p>
      <w:pPr>
        <w:pStyle w:val="2"/>
        <w:rPr>
          <w:rFonts w:hint="eastAsia" w:ascii="宋体" w:hAnsi="宋体" w:eastAsia="宋体" w:cs="宋体"/>
          <w:b/>
          <w:color w:val="000000" w:themeColor="text1"/>
          <w:sz w:val="24"/>
          <w:highlight w:val="none"/>
          <w14:textFill>
            <w14:solidFill>
              <w14:schemeClr w14:val="tx1"/>
            </w14:solidFill>
          </w14:textFill>
        </w:rPr>
      </w:pPr>
    </w:p>
    <w:p>
      <w:pPr>
        <w:spacing w:line="500" w:lineRule="exact"/>
        <w:rPr>
          <w:rFonts w:hint="default"/>
          <w:lang w:val="en-US" w:eastAsia="zh-CN"/>
        </w:rPr>
      </w:pPr>
      <w:r>
        <w:rPr>
          <w:rFonts w:hint="eastAsia" w:ascii="宋体" w:hAnsi="宋体" w:cs="宋体"/>
          <w:b/>
          <w:bCs w:val="0"/>
          <w:color w:val="000000"/>
          <w:sz w:val="21"/>
          <w:szCs w:val="21"/>
          <w:lang w:val="en-US" w:eastAsia="zh-CN"/>
        </w:rPr>
        <w:t>一般</w:t>
      </w:r>
      <w:r>
        <w:rPr>
          <w:rFonts w:hint="eastAsia" w:ascii="宋体" w:hAnsi="宋体" w:cs="宋体"/>
          <w:b/>
          <w:bCs w:val="0"/>
          <w:color w:val="000000"/>
          <w:sz w:val="21"/>
          <w:szCs w:val="21"/>
        </w:rPr>
        <w:t>条款</w:t>
      </w:r>
    </w:p>
    <w:tbl>
      <w:tblPr>
        <w:tblStyle w:val="15"/>
        <w:tblpPr w:leftFromText="180" w:rightFromText="180" w:vertAnchor="text" w:horzAnchor="page" w:tblpX="1011" w:tblpY="476"/>
        <w:tblOverlap w:val="never"/>
        <w:tblW w:w="96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5911"/>
        <w:gridCol w:w="1410"/>
        <w:gridCol w:w="1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序号</w:t>
            </w:r>
          </w:p>
        </w:tc>
        <w:tc>
          <w:tcPr>
            <w:tcW w:w="5911"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参数要求</w:t>
            </w:r>
          </w:p>
        </w:tc>
        <w:tc>
          <w:tcPr>
            <w:tcW w:w="1410" w:type="dxa"/>
            <w:vAlign w:val="center"/>
          </w:tcPr>
          <w:p>
            <w:pPr>
              <w:keepNext w:val="0"/>
              <w:keepLines w:val="0"/>
              <w:pageBreakBefore w:val="0"/>
              <w:widowControl w:val="0"/>
              <w:tabs>
                <w:tab w:val="left" w:pos="720"/>
              </w:tabs>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完全响应或</w:t>
            </w:r>
          </w:p>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正/负偏离</w:t>
            </w:r>
          </w:p>
        </w:tc>
        <w:tc>
          <w:tcPr>
            <w:tcW w:w="1582"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95"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1</w:t>
            </w:r>
          </w:p>
        </w:tc>
        <w:tc>
          <w:tcPr>
            <w:tcW w:w="5911"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both"/>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污水站的运营管理：根据国家及省、市环境保护有关污水处理、污水排放的有关规定，按照污水处理设备的操作指引，成交供应商向采购人提供污水站运营管理服务，运营服务的时间为：全年每天10小时（晚上21:00～次日7:00，包含周六、日及国家规定节假日）。</w:t>
            </w:r>
          </w:p>
        </w:tc>
        <w:tc>
          <w:tcPr>
            <w:tcW w:w="141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c>
          <w:tcPr>
            <w:tcW w:w="1582"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95"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ind w:left="0" w:leftChars="0" w:firstLine="0" w:firstLineChars="0"/>
              <w:jc w:val="center"/>
              <w:textAlignment w:val="auto"/>
              <w:rPr>
                <w:rFonts w:hint="default"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2</w:t>
            </w:r>
          </w:p>
        </w:tc>
        <w:tc>
          <w:tcPr>
            <w:tcW w:w="5911"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both"/>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成交供应商对服务时间内经污水站处理后排放的水质必须达标，排放水质要求达到《医疗机构水污染物排放标准》表2[综合医疗机构和其他医疗机构水污染物排放限值(日均值)]预处理标准。保证出水排放符合国家标准和环保要求，污水处理合格率 100%。</w:t>
            </w:r>
          </w:p>
        </w:tc>
        <w:tc>
          <w:tcPr>
            <w:tcW w:w="141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95"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ind w:left="0" w:leftChars="0" w:firstLine="0" w:firstLineChars="0"/>
              <w:jc w:val="center"/>
              <w:textAlignment w:val="auto"/>
              <w:rPr>
                <w:rFonts w:hint="default"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3</w:t>
            </w:r>
          </w:p>
        </w:tc>
        <w:tc>
          <w:tcPr>
            <w:tcW w:w="5911"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both"/>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运营服务的时间为：全年365天（包含周六、日及国家规定节假日），每天10小时（晚上21:00～次日7:00，时间段采购人可根据实际情况进行调整），驻场总服务人数不少于2人。</w:t>
            </w:r>
          </w:p>
        </w:tc>
        <w:tc>
          <w:tcPr>
            <w:tcW w:w="141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795" w:type="dxa"/>
            <w:vAlign w:val="center"/>
          </w:tcPr>
          <w:p>
            <w:pPr>
              <w:pStyle w:val="20"/>
              <w:keepNext w:val="0"/>
              <w:keepLines w:val="0"/>
              <w:pageBreakBefore w:val="0"/>
              <w:widowControl w:val="0"/>
              <w:numPr>
                <w:ilvl w:val="0"/>
                <w:numId w:val="0"/>
              </w:numPr>
              <w:tabs>
                <w:tab w:val="left" w:pos="363"/>
              </w:tabs>
              <w:kinsoku/>
              <w:wordWrap/>
              <w:overflowPunct/>
              <w:topLinePunct w:val="0"/>
              <w:autoSpaceDE/>
              <w:autoSpaceDN/>
              <w:bidi w:val="0"/>
              <w:adjustRightInd/>
              <w:snapToGrid/>
              <w:spacing w:after="0"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4</w:t>
            </w:r>
          </w:p>
        </w:tc>
        <w:tc>
          <w:tcPr>
            <w:tcW w:w="5911"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both"/>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成交供应商须次月上旬提交上一个月设备的运行、安全状况报告和检查记录，如有突发事故发生，自发生之日起两天内提供事件处理报告。</w:t>
            </w:r>
          </w:p>
        </w:tc>
        <w:tc>
          <w:tcPr>
            <w:tcW w:w="141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5</w:t>
            </w:r>
          </w:p>
        </w:tc>
        <w:tc>
          <w:tcPr>
            <w:tcW w:w="5911"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both"/>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在系统运作期间污水处理设施出现故障的，成交供应商应及时向采购人汇报，成交供应商需协助采购人检修，在24小时内恢复污水处理设施的正常运行。</w:t>
            </w:r>
          </w:p>
        </w:tc>
        <w:tc>
          <w:tcPr>
            <w:tcW w:w="141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c>
          <w:tcPr>
            <w:tcW w:w="1582"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6</w:t>
            </w:r>
          </w:p>
        </w:tc>
        <w:tc>
          <w:tcPr>
            <w:tcW w:w="5911" w:type="dxa"/>
            <w:vAlign w:val="top"/>
          </w:tcPr>
          <w:p>
            <w:pPr>
              <w:pStyle w:val="19"/>
              <w:spacing w:line="360" w:lineRule="auto"/>
              <w:ind w:firstLine="48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人员配置要求：</w:t>
            </w:r>
          </w:p>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both"/>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bidi="ar-SA"/>
              </w:rPr>
              <w:t>成交供应商委派的运营人员应服务态度好，品行良好，身体健康并能胜任岗位的工作，无传染性疾病、无违法犯罪记录。（员工入职前成交供应商应将人员名单提交给当地派出所核查，核查无犯罪记录后才可入职，否则所造成的一切后果及责任由成交供应商承担）。</w:t>
            </w:r>
          </w:p>
        </w:tc>
        <w:tc>
          <w:tcPr>
            <w:tcW w:w="141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7</w:t>
            </w:r>
          </w:p>
        </w:tc>
        <w:tc>
          <w:tcPr>
            <w:tcW w:w="5911"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both"/>
              <w:textAlignment w:val="auto"/>
              <w:rPr>
                <w:rFonts w:hint="eastAsia" w:ascii="宋体" w:hAnsi="宋体" w:eastAsia="宋体" w:cs="宋体"/>
                <w:color w:val="auto"/>
                <w:kern w:val="0"/>
                <w:sz w:val="21"/>
                <w:szCs w:val="21"/>
                <w:highlight w:val="none"/>
                <w:lang w:val="zh-CN" w:eastAsia="zh-CN"/>
              </w:rPr>
            </w:pPr>
            <w:r>
              <w:rPr>
                <w:rFonts w:hint="eastAsia" w:hAnsi="宋体" w:cs="宋体"/>
                <w:bCs/>
                <w:szCs w:val="21"/>
                <w:highlight w:val="none"/>
              </w:rPr>
              <w:t>因中标人的</w:t>
            </w:r>
            <w:r>
              <w:rPr>
                <w:rFonts w:hint="eastAsia" w:hAnsi="宋体" w:cs="宋体"/>
                <w:szCs w:val="21"/>
                <w:highlight w:val="none"/>
                <w:lang w:val="en-US" w:eastAsia="zh-CN"/>
              </w:rPr>
              <w:t>工作</w:t>
            </w:r>
            <w:r>
              <w:rPr>
                <w:rFonts w:hint="eastAsia" w:hAnsi="宋体" w:cs="宋体"/>
                <w:bCs/>
                <w:szCs w:val="21"/>
                <w:highlight w:val="none"/>
              </w:rPr>
              <w:t>人员不稳定导致运营管理服务质量不达标时，采购人有权根据质量考评结果对当月服务费进行扣罚。</w:t>
            </w:r>
          </w:p>
        </w:tc>
        <w:tc>
          <w:tcPr>
            <w:tcW w:w="141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8</w:t>
            </w:r>
          </w:p>
        </w:tc>
        <w:tc>
          <w:tcPr>
            <w:tcW w:w="5911"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both"/>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成交供应商按规定进行有序的运营管理工作，并保证所有指派到采购人处工作的人员均经过至少2天岗前培训。成交供应商应定期委派总公司运营指导人员到采购人运营场所进行驻守人员的指导及培训。</w:t>
            </w:r>
          </w:p>
        </w:tc>
        <w:tc>
          <w:tcPr>
            <w:tcW w:w="141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9</w:t>
            </w:r>
          </w:p>
        </w:tc>
        <w:tc>
          <w:tcPr>
            <w:tcW w:w="5911"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both"/>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成交供应商需建立设备运行记录、用料记录、检验检测记录，定期严格按照闭环管理处理故障，并把处理情况反馈给采购人。</w:t>
            </w:r>
          </w:p>
        </w:tc>
        <w:tc>
          <w:tcPr>
            <w:tcW w:w="141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10</w:t>
            </w:r>
          </w:p>
        </w:tc>
        <w:tc>
          <w:tcPr>
            <w:tcW w:w="5911"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both"/>
              <w:textAlignment w:val="auto"/>
              <w:rPr>
                <w:rFonts w:hint="eastAsia" w:ascii="宋体" w:hAnsi="宋体" w:eastAsia="宋体" w:cs="宋体"/>
                <w:color w:val="auto"/>
                <w:kern w:val="0"/>
                <w:sz w:val="21"/>
                <w:szCs w:val="21"/>
                <w:highlight w:val="none"/>
                <w:lang w:val="zh-CN" w:eastAsia="zh-CN"/>
              </w:rPr>
            </w:pPr>
            <w:r>
              <w:rPr>
                <w:rFonts w:hint="eastAsia" w:hAnsi="宋体" w:cs="宋体"/>
                <w:color w:val="000000"/>
                <w:kern w:val="2"/>
                <w:szCs w:val="24"/>
              </w:rPr>
              <w:t>在处理特殊事件和紧急、突发事故时，采购人有直接指挥权；对安全事故及重大故障，成交供应商必须按照重大故障上报机制执行，要把最新处理情况即时反馈给采购人，禁止隐瞒的行为。</w:t>
            </w:r>
          </w:p>
        </w:tc>
        <w:tc>
          <w:tcPr>
            <w:tcW w:w="141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11</w:t>
            </w:r>
          </w:p>
        </w:tc>
        <w:tc>
          <w:tcPr>
            <w:tcW w:w="5911"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both"/>
              <w:textAlignment w:val="auto"/>
              <w:rPr>
                <w:rFonts w:hint="eastAsia" w:ascii="宋体" w:hAnsi="宋体" w:eastAsia="宋体" w:cs="宋体"/>
                <w:color w:val="auto"/>
                <w:kern w:val="0"/>
                <w:sz w:val="21"/>
                <w:szCs w:val="21"/>
                <w:highlight w:val="none"/>
                <w:lang w:val="zh-CN" w:eastAsia="zh-CN"/>
              </w:rPr>
            </w:pPr>
            <w:r>
              <w:rPr>
                <w:rFonts w:hint="eastAsia" w:hAnsi="宋体" w:cs="宋体"/>
                <w:color w:val="000000"/>
                <w:kern w:val="2"/>
                <w:szCs w:val="24"/>
              </w:rPr>
              <w:t>成交供应</w:t>
            </w:r>
            <w:r>
              <w:rPr>
                <w:rFonts w:hint="eastAsia" w:hAnsi="宋体" w:cs="宋体"/>
                <w:color w:val="000000"/>
                <w:kern w:val="2"/>
                <w:szCs w:val="24"/>
                <w:highlight w:val="none"/>
              </w:rPr>
              <w:t>商每月10日前向采购人提交上一个月的运行记录、</w:t>
            </w:r>
            <w:r>
              <w:rPr>
                <w:rFonts w:hint="eastAsia" w:hAnsi="宋体" w:cs="宋体"/>
                <w:color w:val="000000"/>
                <w:kern w:val="2"/>
                <w:szCs w:val="24"/>
              </w:rPr>
              <w:t>值班记录及检验检测记录等相关记录文件，原始记录交采购人保存；年终提交全年工作总结报告。</w:t>
            </w:r>
          </w:p>
        </w:tc>
        <w:tc>
          <w:tcPr>
            <w:tcW w:w="141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12</w:t>
            </w:r>
          </w:p>
        </w:tc>
        <w:tc>
          <w:tcPr>
            <w:tcW w:w="5911"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both"/>
              <w:textAlignment w:val="auto"/>
              <w:rPr>
                <w:rFonts w:hint="eastAsia" w:ascii="宋体" w:hAnsi="宋体" w:eastAsia="宋体" w:cs="宋体"/>
                <w:color w:val="auto"/>
                <w:kern w:val="0"/>
                <w:sz w:val="21"/>
                <w:szCs w:val="21"/>
                <w:highlight w:val="none"/>
                <w:lang w:val="zh-CN" w:eastAsia="zh-CN"/>
              </w:rPr>
            </w:pPr>
            <w:r>
              <w:rPr>
                <w:rFonts w:hint="eastAsia" w:hAnsi="宋体" w:cs="宋体"/>
                <w:color w:val="000000"/>
                <w:kern w:val="2"/>
                <w:szCs w:val="24"/>
              </w:rPr>
              <w:t>成交供应商于月度结算时向采购人提交相关票据、资料等进行结算，如因成交供应商原因未及时提供相关票据资料造成结算延误，采购人不承担逾期付款责任。</w:t>
            </w:r>
          </w:p>
        </w:tc>
        <w:tc>
          <w:tcPr>
            <w:tcW w:w="141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13</w:t>
            </w:r>
          </w:p>
        </w:tc>
        <w:tc>
          <w:tcPr>
            <w:tcW w:w="5911"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both"/>
              <w:textAlignment w:val="auto"/>
              <w:rPr>
                <w:rFonts w:hint="eastAsia" w:ascii="宋体" w:hAnsi="宋体" w:eastAsia="宋体" w:cs="宋体"/>
                <w:color w:val="auto"/>
                <w:kern w:val="0"/>
                <w:sz w:val="21"/>
                <w:szCs w:val="21"/>
                <w:highlight w:val="none"/>
                <w:lang w:val="zh-CN" w:eastAsia="zh-CN"/>
              </w:rPr>
            </w:pPr>
            <w:r>
              <w:rPr>
                <w:rFonts w:hint="eastAsia" w:hAnsi="宋体" w:cs="宋体"/>
                <w:color w:val="000000"/>
                <w:kern w:val="2"/>
                <w:szCs w:val="24"/>
              </w:rPr>
              <w:t>成交供应商员工所需的防护用品如橡胶手套、口罩、眼罩、隔离帽、隔离服等由成交供应商自行负责。</w:t>
            </w:r>
          </w:p>
        </w:tc>
        <w:tc>
          <w:tcPr>
            <w:tcW w:w="141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14</w:t>
            </w:r>
          </w:p>
        </w:tc>
        <w:tc>
          <w:tcPr>
            <w:tcW w:w="5911"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both"/>
              <w:textAlignment w:val="auto"/>
              <w:rPr>
                <w:rFonts w:hint="eastAsia" w:ascii="宋体" w:hAnsi="宋体" w:eastAsia="宋体" w:cs="宋体"/>
                <w:color w:val="auto"/>
                <w:kern w:val="0"/>
                <w:sz w:val="21"/>
                <w:szCs w:val="21"/>
                <w:highlight w:val="none"/>
                <w:lang w:val="zh-CN" w:eastAsia="zh-CN"/>
              </w:rPr>
            </w:pPr>
            <w:r>
              <w:rPr>
                <w:rFonts w:hint="eastAsia" w:hAnsi="宋体" w:cs="宋体"/>
                <w:bCs/>
                <w:highlight w:val="none"/>
              </w:rPr>
              <w:t>提供24小时响应服务。如非正常上班时间遇临时性或突发性的工作，应在接到采购人通知1小时内到达现场处理，到场后2小时内处理完毕。如无法处理完毕的，应向采购人及时说明原因。</w:t>
            </w:r>
          </w:p>
        </w:tc>
        <w:tc>
          <w:tcPr>
            <w:tcW w:w="141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15</w:t>
            </w:r>
          </w:p>
        </w:tc>
        <w:tc>
          <w:tcPr>
            <w:tcW w:w="5911"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both"/>
              <w:textAlignment w:val="auto"/>
              <w:rPr>
                <w:rFonts w:hint="eastAsia" w:ascii="宋体" w:hAnsi="宋体" w:eastAsia="宋体" w:cs="宋体"/>
                <w:color w:val="auto"/>
                <w:kern w:val="0"/>
                <w:sz w:val="21"/>
                <w:szCs w:val="21"/>
                <w:highlight w:val="none"/>
                <w:lang w:val="zh-CN" w:eastAsia="zh-CN"/>
              </w:rPr>
            </w:pPr>
            <w:r>
              <w:rPr>
                <w:rFonts w:hint="eastAsia" w:hAnsi="宋体" w:cs="宋体"/>
                <w:bCs/>
              </w:rPr>
              <w:t>因成交供应商责任造成工作人员、采购人及第三方的设备设施、财产损坏或人身损害的，由成交供应商负责对损坏的设备恢复原状并承担所造成的所有责任及赔偿。</w:t>
            </w:r>
          </w:p>
        </w:tc>
        <w:tc>
          <w:tcPr>
            <w:tcW w:w="141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16</w:t>
            </w:r>
          </w:p>
        </w:tc>
        <w:tc>
          <w:tcPr>
            <w:tcW w:w="5911"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both"/>
              <w:textAlignment w:val="auto"/>
              <w:rPr>
                <w:rFonts w:hint="eastAsia" w:ascii="宋体" w:hAnsi="宋体" w:eastAsia="宋体" w:cs="宋体"/>
                <w:color w:val="auto"/>
                <w:kern w:val="0"/>
                <w:sz w:val="21"/>
                <w:szCs w:val="21"/>
                <w:highlight w:val="none"/>
                <w:lang w:val="zh-CN" w:eastAsia="zh-CN"/>
              </w:rPr>
            </w:pPr>
            <w:r>
              <w:rPr>
                <w:rFonts w:hint="eastAsia" w:hAnsi="宋体" w:cs="宋体"/>
                <w:bCs/>
              </w:rPr>
              <w:t>成交供应商员工发生的投诉、纠纷和法律事件，由成交供应商承担。若因成交供应商管理不善、控制不力而</w:t>
            </w:r>
            <w:r>
              <w:rPr>
                <w:rFonts w:hint="eastAsia" w:hAnsi="宋体" w:cs="宋体"/>
                <w:bCs/>
                <w:highlight w:val="none"/>
              </w:rPr>
              <w:t>发生罢工</w:t>
            </w:r>
            <w:r>
              <w:rPr>
                <w:rFonts w:hint="eastAsia" w:hAnsi="宋体" w:cs="宋体"/>
                <w:bCs/>
              </w:rPr>
              <w:t>等重大事件且造成严重影响的，扣罚该月总服务费的10～30%，及采购人有权根据具体情况单方终止合同。</w:t>
            </w:r>
          </w:p>
        </w:tc>
        <w:tc>
          <w:tcPr>
            <w:tcW w:w="141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17</w:t>
            </w:r>
          </w:p>
        </w:tc>
        <w:tc>
          <w:tcPr>
            <w:tcW w:w="5911"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both"/>
              <w:textAlignment w:val="auto"/>
              <w:rPr>
                <w:rFonts w:hint="eastAsia" w:ascii="宋体" w:hAnsi="宋体" w:eastAsia="宋体" w:cs="宋体"/>
                <w:color w:val="auto"/>
                <w:kern w:val="0"/>
                <w:sz w:val="21"/>
                <w:szCs w:val="21"/>
                <w:highlight w:val="none"/>
                <w:lang w:val="zh-CN" w:eastAsia="zh-CN"/>
              </w:rPr>
            </w:pPr>
            <w:r>
              <w:rPr>
                <w:rFonts w:hint="eastAsia" w:hAnsi="宋体" w:cs="宋体"/>
                <w:bCs/>
              </w:rPr>
              <w:t>服</w:t>
            </w:r>
            <w:r>
              <w:rPr>
                <w:rFonts w:hint="eastAsia" w:hAnsi="宋体" w:cs="宋体"/>
                <w:bCs/>
                <w:highlight w:val="none"/>
              </w:rPr>
              <w:t>务到期时，成</w:t>
            </w:r>
            <w:r>
              <w:rPr>
                <w:rFonts w:hint="eastAsia" w:hAnsi="宋体" w:cs="宋体"/>
                <w:bCs/>
              </w:rPr>
              <w:t>交供应商应将运营管理的所有原始资料交给采购人保管，不得私自损毁。</w:t>
            </w:r>
          </w:p>
        </w:tc>
        <w:tc>
          <w:tcPr>
            <w:tcW w:w="141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18</w:t>
            </w:r>
          </w:p>
        </w:tc>
        <w:tc>
          <w:tcPr>
            <w:tcW w:w="5911"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both"/>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报价为含税费报价，该报价包括：污水处理站排放水质监测试剂试纸费用；派驻人员工资、福利、服装、通信工具、交通工具、 社保、医疗、待业保障、工伤保险、各节假日和特殊工作任务加班费用、劳保费、应急演练费；完成该项目所需工具、设备、管理费、税费；不可预见费等费用。</w:t>
            </w:r>
          </w:p>
        </w:tc>
        <w:tc>
          <w:tcPr>
            <w:tcW w:w="141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19</w:t>
            </w:r>
          </w:p>
        </w:tc>
        <w:tc>
          <w:tcPr>
            <w:tcW w:w="5911"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both"/>
              <w:textAlignment w:val="auto"/>
              <w:rPr>
                <w:rFonts w:hint="eastAsia" w:ascii="宋体" w:hAnsi="宋体" w:eastAsia="宋体" w:cs="宋体"/>
                <w:color w:val="auto"/>
                <w:kern w:val="0"/>
                <w:sz w:val="21"/>
                <w:szCs w:val="21"/>
                <w:highlight w:val="none"/>
                <w:lang w:val="zh-CN" w:eastAsia="zh-CN"/>
              </w:rPr>
            </w:pPr>
            <w:r>
              <w:rPr>
                <w:rFonts w:hint="eastAsia" w:asciiTheme="minorEastAsia" w:hAnsiTheme="minorEastAsia"/>
                <w:szCs w:val="24"/>
              </w:rPr>
              <w:t>如因成交供应商原因所导致的一切安全事故、责任和后果由成交供应商</w:t>
            </w:r>
            <w:r>
              <w:rPr>
                <w:rFonts w:hint="eastAsia" w:asciiTheme="minorEastAsia" w:hAnsiTheme="minorEastAsia"/>
                <w:szCs w:val="24"/>
                <w:highlight w:val="none"/>
              </w:rPr>
              <w:t>自行承担，采购人保留追究成交供应商责任的权利。</w:t>
            </w:r>
          </w:p>
        </w:tc>
        <w:tc>
          <w:tcPr>
            <w:tcW w:w="141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20</w:t>
            </w:r>
          </w:p>
        </w:tc>
        <w:tc>
          <w:tcPr>
            <w:tcW w:w="5911"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both"/>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服务费的支付：采购人每月根据当月的服务质量考核结果支付服务费。采购人主管部门每月15日前将服务质量考核结果反馈给成交供应商，成交供应商对考核结果有异议的，应在收到反馈意见后两天内提交书面意见，逾期未提交视为同意。经双方确定服务费用，成交供应商开具有效发票，采购人收到发票并审核无误后一个月内支付费用。</w:t>
            </w:r>
          </w:p>
        </w:tc>
        <w:tc>
          <w:tcPr>
            <w:tcW w:w="141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default" w:ascii="宋体" w:hAnsi="宋体" w:eastAsia="宋体" w:cs="宋体"/>
                <w:b w:val="0"/>
                <w:bCs w:val="0"/>
                <w:color w:val="auto"/>
                <w:kern w:val="0"/>
                <w:sz w:val="21"/>
                <w:szCs w:val="21"/>
                <w:highlight w:val="none"/>
                <w:lang w:val="en-US" w:eastAsia="zh-CN"/>
              </w:rPr>
            </w:pPr>
          </w:p>
        </w:tc>
        <w:tc>
          <w:tcPr>
            <w:tcW w:w="5911"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both"/>
              <w:textAlignment w:val="auto"/>
              <w:rPr>
                <w:rFonts w:hint="eastAsia" w:ascii="宋体" w:hAnsi="宋体" w:eastAsia="宋体" w:cs="宋体"/>
                <w:color w:val="auto"/>
                <w:kern w:val="0"/>
                <w:sz w:val="21"/>
                <w:szCs w:val="21"/>
                <w:highlight w:val="none"/>
                <w:lang w:val="zh-CN" w:eastAsia="zh-CN"/>
              </w:rPr>
            </w:pPr>
          </w:p>
        </w:tc>
        <w:tc>
          <w:tcPr>
            <w:tcW w:w="141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bl>
    <w:p>
      <w:pPr>
        <w:rPr>
          <w:rFonts w:hint="eastAsia" w:ascii="宋体" w:hAnsi="宋体" w:eastAsia="宋体" w:cs="宋体"/>
          <w:b/>
          <w:color w:val="000000" w:themeColor="text1"/>
          <w:sz w:val="24"/>
          <w:highlight w:val="none"/>
          <w14:textFill>
            <w14:solidFill>
              <w14:schemeClr w14:val="tx1"/>
            </w14:solidFill>
          </w14:textFill>
        </w:rPr>
      </w:pPr>
    </w:p>
    <w:p>
      <w:pPr>
        <w:pStyle w:val="2"/>
        <w:rPr>
          <w:rFonts w:hint="eastAsia"/>
        </w:rPr>
      </w:pPr>
    </w:p>
    <w:p>
      <w:pPr>
        <w:pStyle w:val="2"/>
        <w:rPr>
          <w:rFonts w:hint="eastAsia"/>
        </w:rPr>
      </w:pPr>
    </w:p>
    <w:p>
      <w:pPr>
        <w:pStyle w:val="3"/>
        <w:ind w:left="0" w:leftChars="0" w:firstLine="0" w:firstLineChars="0"/>
        <w:rPr>
          <w:rFonts w:hint="eastAsia" w:ascii="宋体" w:hAnsi="宋体" w:eastAsia="宋体" w:cs="宋体"/>
        </w:rPr>
        <w:sectPr>
          <w:pgSz w:w="11907" w:h="16840"/>
          <w:pgMar w:top="1418" w:right="1418" w:bottom="1418" w:left="1418" w:header="567" w:footer="748" w:gutter="0"/>
          <w:cols w:space="720" w:num="1"/>
          <w:docGrid w:linePitch="312" w:charSpace="0"/>
        </w:sectPr>
      </w:pPr>
    </w:p>
    <w:p>
      <w:pPr>
        <w:pStyle w:val="7"/>
        <w:keepNext w:val="0"/>
        <w:keepLines w:val="0"/>
        <w:pageBreakBefore w:val="0"/>
        <w:widowControl w:val="0"/>
        <w:numPr>
          <w:ilvl w:val="0"/>
          <w:numId w:val="10"/>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报价单 </w:t>
      </w: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致中山市小榄人民医院：</w:t>
      </w:r>
    </w:p>
    <w:tbl>
      <w:tblPr>
        <w:tblStyle w:val="14"/>
        <w:tblpPr w:leftFromText="180" w:rightFromText="180" w:vertAnchor="text" w:horzAnchor="page" w:tblpX="1326" w:tblpY="205"/>
        <w:tblOverlap w:val="never"/>
        <w:tblW w:w="48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9"/>
        <w:gridCol w:w="1814"/>
        <w:gridCol w:w="1350"/>
        <w:gridCol w:w="1704"/>
        <w:gridCol w:w="1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pct"/>
            <w:vAlign w:val="center"/>
          </w:tcPr>
          <w:p>
            <w:pPr>
              <w:spacing w:line="560" w:lineRule="exact"/>
              <w:jc w:val="center"/>
              <w:rPr>
                <w:rFonts w:hint="eastAsia" w:ascii="宋体" w:hAnsi="宋体" w:eastAsia="宋体" w:cs="宋体"/>
                <w:b/>
                <w:bCs/>
                <w:color w:val="auto"/>
                <w:sz w:val="26"/>
                <w:szCs w:val="26"/>
              </w:rPr>
            </w:pPr>
            <w:r>
              <w:rPr>
                <w:rFonts w:hint="eastAsia" w:ascii="宋体" w:hAnsi="宋体" w:cs="宋体"/>
                <w:b/>
                <w:bCs/>
                <w:color w:val="auto"/>
                <w:sz w:val="26"/>
                <w:szCs w:val="26"/>
                <w:lang w:val="en-US" w:eastAsia="zh-CN"/>
              </w:rPr>
              <w:t>项目</w:t>
            </w:r>
            <w:r>
              <w:rPr>
                <w:rFonts w:hint="eastAsia" w:ascii="宋体" w:hAnsi="宋体" w:eastAsia="宋体" w:cs="宋体"/>
                <w:b/>
                <w:bCs/>
                <w:color w:val="auto"/>
                <w:sz w:val="26"/>
                <w:szCs w:val="26"/>
              </w:rPr>
              <w:t>名称</w:t>
            </w:r>
          </w:p>
        </w:tc>
        <w:tc>
          <w:tcPr>
            <w:tcW w:w="1002" w:type="pct"/>
            <w:vAlign w:val="center"/>
          </w:tcPr>
          <w:p>
            <w:pPr>
              <w:spacing w:line="560" w:lineRule="exact"/>
              <w:jc w:val="center"/>
              <w:rPr>
                <w:rFonts w:hint="eastAsia" w:ascii="宋体" w:hAnsi="宋体" w:eastAsia="宋体" w:cs="宋体"/>
                <w:b/>
                <w:bCs/>
                <w:color w:val="auto"/>
                <w:sz w:val="26"/>
                <w:szCs w:val="26"/>
              </w:rPr>
            </w:pPr>
            <w:r>
              <w:rPr>
                <w:rFonts w:hint="eastAsia" w:ascii="宋体" w:hAnsi="宋体" w:eastAsia="宋体" w:cs="宋体"/>
                <w:b/>
                <w:bCs/>
                <w:color w:val="auto"/>
                <w:sz w:val="26"/>
                <w:szCs w:val="26"/>
              </w:rPr>
              <w:t>数量</w:t>
            </w:r>
          </w:p>
        </w:tc>
        <w:tc>
          <w:tcPr>
            <w:tcW w:w="745" w:type="pct"/>
            <w:vAlign w:val="center"/>
          </w:tcPr>
          <w:p>
            <w:pPr>
              <w:spacing w:line="560" w:lineRule="exact"/>
              <w:jc w:val="center"/>
              <w:rPr>
                <w:rFonts w:hint="eastAsia" w:ascii="宋体" w:hAnsi="宋体" w:eastAsia="宋体" w:cs="宋体"/>
                <w:b/>
                <w:bCs/>
                <w:color w:val="auto"/>
                <w:sz w:val="26"/>
                <w:szCs w:val="26"/>
              </w:rPr>
            </w:pPr>
            <w:r>
              <w:rPr>
                <w:rFonts w:hint="eastAsia" w:ascii="宋体" w:hAnsi="宋体" w:eastAsia="宋体" w:cs="宋体"/>
                <w:b/>
                <w:bCs/>
                <w:color w:val="auto"/>
                <w:sz w:val="26"/>
                <w:szCs w:val="26"/>
              </w:rPr>
              <w:t>单位</w:t>
            </w:r>
          </w:p>
        </w:tc>
        <w:tc>
          <w:tcPr>
            <w:tcW w:w="941" w:type="pct"/>
            <w:vAlign w:val="center"/>
          </w:tcPr>
          <w:p>
            <w:pPr>
              <w:spacing w:line="560" w:lineRule="exact"/>
              <w:jc w:val="center"/>
              <w:rPr>
                <w:rFonts w:hint="eastAsia" w:ascii="宋体" w:hAnsi="宋体" w:eastAsia="宋体" w:cs="宋体"/>
                <w:b/>
                <w:bCs/>
                <w:color w:val="auto"/>
                <w:sz w:val="26"/>
                <w:szCs w:val="26"/>
              </w:rPr>
            </w:pPr>
            <w:r>
              <w:rPr>
                <w:rFonts w:hint="eastAsia" w:ascii="宋体" w:hAnsi="宋体" w:eastAsia="宋体" w:cs="宋体"/>
                <w:b/>
                <w:bCs/>
                <w:color w:val="auto"/>
                <w:sz w:val="26"/>
                <w:szCs w:val="26"/>
              </w:rPr>
              <w:t>单价</w:t>
            </w:r>
          </w:p>
        </w:tc>
        <w:tc>
          <w:tcPr>
            <w:tcW w:w="979" w:type="pct"/>
            <w:vAlign w:val="center"/>
          </w:tcPr>
          <w:p>
            <w:pPr>
              <w:pStyle w:val="21"/>
              <w:keepNext w:val="0"/>
              <w:adjustRightInd/>
              <w:spacing w:before="0" w:after="0" w:line="560" w:lineRule="exact"/>
              <w:textAlignment w:val="auto"/>
              <w:rPr>
                <w:rFonts w:hint="eastAsia" w:ascii="宋体" w:hAnsi="宋体" w:eastAsia="宋体" w:cs="宋体"/>
                <w:b/>
                <w:bCs/>
                <w:snapToGrid/>
                <w:color w:val="auto"/>
                <w:spacing w:val="0"/>
                <w:kern w:val="2"/>
                <w:sz w:val="26"/>
                <w:szCs w:val="26"/>
              </w:rPr>
            </w:pPr>
            <w:r>
              <w:rPr>
                <w:rFonts w:hint="eastAsia" w:ascii="宋体" w:hAnsi="宋体" w:eastAsia="宋体" w:cs="宋体"/>
                <w:b/>
                <w:bCs/>
                <w:snapToGrid/>
                <w:color w:val="auto"/>
                <w:spacing w:val="0"/>
                <w:kern w:val="2"/>
                <w:sz w:val="26"/>
                <w:szCs w:val="26"/>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330" w:type="pct"/>
            <w:vAlign w:val="center"/>
          </w:tcPr>
          <w:p>
            <w:pPr>
              <w:spacing w:line="560" w:lineRule="exact"/>
              <w:jc w:val="center"/>
              <w:rPr>
                <w:rFonts w:hint="eastAsia" w:ascii="宋体" w:hAnsi="宋体" w:eastAsia="宋体" w:cs="宋体"/>
                <w:b/>
                <w:color w:val="auto"/>
                <w:sz w:val="26"/>
                <w:szCs w:val="26"/>
              </w:rPr>
            </w:pPr>
            <w:r>
              <w:rPr>
                <w:rFonts w:hint="eastAsia" w:ascii="宋体" w:hAnsi="宋体" w:eastAsia="宋体" w:cs="宋体"/>
                <w:bCs/>
                <w:color w:val="auto"/>
                <w:sz w:val="26"/>
                <w:szCs w:val="26"/>
              </w:rPr>
              <w:t>（按注册证填写）</w:t>
            </w:r>
          </w:p>
        </w:tc>
        <w:tc>
          <w:tcPr>
            <w:tcW w:w="1002" w:type="pct"/>
            <w:vAlign w:val="center"/>
          </w:tcPr>
          <w:p>
            <w:pPr>
              <w:spacing w:line="560" w:lineRule="exact"/>
              <w:jc w:val="center"/>
              <w:rPr>
                <w:rFonts w:hint="eastAsia" w:ascii="宋体" w:hAnsi="宋体" w:eastAsia="宋体" w:cs="宋体"/>
                <w:color w:val="auto"/>
                <w:sz w:val="26"/>
                <w:szCs w:val="26"/>
              </w:rPr>
            </w:pPr>
          </w:p>
        </w:tc>
        <w:tc>
          <w:tcPr>
            <w:tcW w:w="745" w:type="pct"/>
            <w:vAlign w:val="center"/>
          </w:tcPr>
          <w:p>
            <w:pPr>
              <w:spacing w:line="560" w:lineRule="exact"/>
              <w:jc w:val="center"/>
              <w:rPr>
                <w:rFonts w:hint="eastAsia" w:ascii="宋体" w:hAnsi="宋体" w:eastAsia="宋体" w:cs="宋体"/>
                <w:color w:val="auto"/>
                <w:sz w:val="26"/>
                <w:szCs w:val="26"/>
              </w:rPr>
            </w:pPr>
          </w:p>
        </w:tc>
        <w:tc>
          <w:tcPr>
            <w:tcW w:w="941" w:type="pct"/>
            <w:vAlign w:val="center"/>
          </w:tcPr>
          <w:p>
            <w:pPr>
              <w:spacing w:line="560" w:lineRule="exact"/>
              <w:jc w:val="center"/>
              <w:rPr>
                <w:rFonts w:hint="eastAsia" w:ascii="宋体" w:hAnsi="宋体" w:eastAsia="宋体" w:cs="宋体"/>
                <w:color w:val="auto"/>
                <w:sz w:val="26"/>
                <w:szCs w:val="26"/>
              </w:rPr>
            </w:pPr>
          </w:p>
        </w:tc>
        <w:tc>
          <w:tcPr>
            <w:tcW w:w="979" w:type="pct"/>
            <w:vAlign w:val="center"/>
          </w:tcPr>
          <w:p>
            <w:pPr>
              <w:spacing w:line="560" w:lineRule="exact"/>
              <w:jc w:val="center"/>
              <w:rPr>
                <w:rFonts w:hint="eastAsia" w:ascii="宋体" w:hAnsi="宋体" w:eastAsia="宋体" w:cs="宋体"/>
                <w:color w:val="auto"/>
                <w:sz w:val="26"/>
                <w:szCs w:val="26"/>
              </w:rPr>
            </w:pPr>
          </w:p>
        </w:tc>
      </w:tr>
    </w:tbl>
    <w:p>
      <w:pPr>
        <w:pStyle w:val="2"/>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520" w:firstLineChars="23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w:t>
      </w:r>
    </w:p>
    <w:p>
      <w:pPr>
        <w:pStyle w:val="2"/>
        <w:keepNext w:val="0"/>
        <w:keepLines w:val="0"/>
        <w:pageBreakBefore w:val="0"/>
        <w:widowControl w:val="0"/>
        <w:kinsoku/>
        <w:wordWrap/>
        <w:overflowPunct/>
        <w:topLinePunct w:val="0"/>
        <w:autoSpaceDE/>
        <w:autoSpaceDN/>
        <w:bidi w:val="0"/>
        <w:adjustRightInd/>
        <w:snapToGrid/>
        <w:spacing w:line="360" w:lineRule="auto"/>
        <w:ind w:firstLine="5520" w:firstLineChars="23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w:t>
      </w:r>
    </w:p>
    <w:p>
      <w:pPr>
        <w:keepNext w:val="0"/>
        <w:keepLines w:val="0"/>
        <w:pageBreakBefore w:val="0"/>
        <w:widowControl w:val="0"/>
        <w:kinsoku/>
        <w:wordWrap/>
        <w:overflowPunct/>
        <w:topLinePunct w:val="0"/>
        <w:autoSpaceDE/>
        <w:autoSpaceDN/>
        <w:bidi w:val="0"/>
        <w:adjustRightInd/>
        <w:snapToGrid/>
        <w:spacing w:line="360" w:lineRule="auto"/>
        <w:ind w:firstLine="5520" w:firstLineChars="23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联系方式：</w:t>
      </w:r>
    </w:p>
    <w:p>
      <w:pPr>
        <w:pStyle w:val="2"/>
        <w:keepNext w:val="0"/>
        <w:keepLines w:val="0"/>
        <w:pageBreakBefore w:val="0"/>
        <w:widowControl w:val="0"/>
        <w:kinsoku/>
        <w:wordWrap/>
        <w:overflowPunct/>
        <w:topLinePunct w:val="0"/>
        <w:autoSpaceDE/>
        <w:autoSpaceDN/>
        <w:bidi w:val="0"/>
        <w:adjustRightInd/>
        <w:snapToGrid/>
        <w:spacing w:line="360" w:lineRule="auto"/>
        <w:ind w:firstLine="5520" w:firstLineChars="23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报价时间：    年   月   日</w:t>
      </w:r>
    </w:p>
    <w:p>
      <w:pPr>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br w:type="page"/>
      </w:r>
    </w:p>
    <w:p>
      <w:pPr>
        <w:pStyle w:val="7"/>
        <w:keepNext w:val="0"/>
        <w:keepLines w:val="0"/>
        <w:pageBreakBefore w:val="0"/>
        <w:widowControl w:val="0"/>
        <w:numPr>
          <w:ilvl w:val="0"/>
          <w:numId w:val="10"/>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法定代表人授权委托书</w:t>
      </w:r>
    </w:p>
    <w:p>
      <w:pPr>
        <w:pStyle w:val="7"/>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ind w:leftChars="0"/>
        <w:textAlignment w:val="auto"/>
        <w:rPr>
          <w:rFonts w:hint="eastAsia" w:ascii="宋体" w:hAnsi="宋体" w:eastAsia="宋体" w:cs="宋体"/>
          <w:b w:val="0"/>
          <w:bCs w:val="0"/>
          <w:color w:val="auto"/>
          <w:sz w:val="24"/>
          <w:szCs w:val="24"/>
          <w:highlight w:val="none"/>
        </w:rPr>
      </w:pPr>
    </w:p>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法定代表人授权委托书</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致：</w:t>
      </w:r>
      <w:r>
        <w:rPr>
          <w:rFonts w:hint="eastAsia" w:ascii="宋体" w:hAnsi="宋体" w:cs="宋体"/>
          <w:b w:val="0"/>
          <w:bCs w:val="0"/>
          <w:color w:val="auto"/>
          <w:sz w:val="24"/>
          <w:szCs w:val="24"/>
          <w:highlight w:val="none"/>
          <w:lang w:eastAsia="zh-CN"/>
        </w:rPr>
        <w:t>中山市小榄人民医院</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兹授权</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同志，为我方签订经济合同及办理其他事务代理人，其权限是：</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 xml:space="preserve">授权单位（盖章）：  </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cs="宋体"/>
          <w:b w:val="0"/>
          <w:bCs w:val="0"/>
          <w:color w:val="auto"/>
          <w:sz w:val="24"/>
          <w:szCs w:val="24"/>
          <w:highlight w:val="none"/>
        </w:rPr>
        <w:t>法定代表人</w:t>
      </w:r>
      <w:r>
        <w:rPr>
          <w:rFonts w:hint="eastAsia" w:ascii="宋体" w:hAnsi="宋体"/>
          <w:b w:val="0"/>
          <w:bCs w:val="0"/>
          <w:color w:val="auto"/>
          <w:sz w:val="24"/>
          <w:szCs w:val="24"/>
          <w:highlight w:val="none"/>
        </w:rPr>
        <w:t>（签名或盖私章）：</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日期：</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年</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月</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日</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附：代理人性别：        年龄：       职务：         身份证号码：</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联系电话：</w:t>
      </w:r>
    </w:p>
    <w:p>
      <w:pPr>
        <w:keepNext w:val="0"/>
        <w:keepLines w:val="0"/>
        <w:pageBreakBefore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b w:val="0"/>
          <w:bCs w:val="0"/>
          <w:color w:val="auto"/>
          <w:sz w:val="24"/>
          <w:szCs w:val="24"/>
          <w:highlight w:val="none"/>
        </w:rPr>
      </w:pPr>
      <w:r>
        <w:rPr>
          <w:rFonts w:hint="eastAsia" w:ascii="宋体" w:hAnsi="宋体"/>
          <w:b w:val="0"/>
          <w:bCs w:val="0"/>
          <w:color w:val="auto"/>
          <w:sz w:val="24"/>
          <w:szCs w:val="24"/>
          <w:highlight w:val="none"/>
        </w:rPr>
        <w:t>统一社会信用代码：</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说明：1、</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法定代表人</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为企业事业单位、国家机关、社会团体的主要行政负责人。</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b w:val="0"/>
          <w:bCs w:val="0"/>
          <w:color w:val="auto"/>
          <w:sz w:val="24"/>
          <w:szCs w:val="24"/>
          <w:highlight w:val="none"/>
        </w:rPr>
        <w:t>2、此处所述“法定代表人”，须与供应商“营业执照”上的内容一致。</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 xml:space="preserve">      3、内容必须填写真实、清楚、涂改无效，不得转让、买卖。</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4、将此证明书提交对方作为合同附件。</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5、授权权限：全权代表本公司参与上述采购项目的报价，负责提供与签署确认一切文书资料，以及向贵方递交的任何补充承诺。</w:t>
      </w:r>
    </w:p>
    <w:p>
      <w:pPr>
        <w:keepNext w:val="0"/>
        <w:keepLines w:val="0"/>
        <w:pageBreakBefore w:val="0"/>
        <w:shd w:val="clear"/>
        <w:kinsoku/>
        <w:wordWrap/>
        <w:overflowPunct/>
        <w:topLinePunct w:val="0"/>
        <w:autoSpaceDE/>
        <w:autoSpaceDN/>
        <w:bidi w:val="0"/>
        <w:adjustRightInd/>
        <w:snapToGrid/>
        <w:spacing w:line="360" w:lineRule="auto"/>
        <w:ind w:firstLine="736" w:firstLineChars="307"/>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6、签字代表为法定代表人，则本表不适用。</w:t>
      </w:r>
    </w:p>
    <w:p>
      <w:pPr>
        <w:pStyle w:val="2"/>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7、身份证复印件或扫描件须在有效期内。</w:t>
      </w:r>
    </w:p>
    <w:p>
      <w:pPr>
        <w:keepNext w:val="0"/>
        <w:keepLines w:val="0"/>
        <w:pageBreakBefore w:val="0"/>
        <w:shd w:val="clear"/>
        <w:kinsoku/>
        <w:wordWrap/>
        <w:overflowPunct/>
        <w:topLinePunct w:val="0"/>
        <w:autoSpaceDE/>
        <w:autoSpaceDN/>
        <w:bidi w:val="0"/>
        <w:adjustRightInd/>
        <w:snapToGrid/>
        <w:spacing w:line="360" w:lineRule="auto"/>
        <w:ind w:firstLine="736" w:firstLineChars="307"/>
        <w:textAlignment w:val="auto"/>
        <w:rPr>
          <w:b w:val="0"/>
          <w:bCs w:val="0"/>
          <w:color w:val="auto"/>
          <w:sz w:val="21"/>
          <w:szCs w:val="21"/>
          <w:highlight w:val="none"/>
        </w:rPr>
      </w:pPr>
      <w:r>
        <w:rPr>
          <w:rFonts w:hint="eastAsia" w:ascii="宋体" w:hAnsi="宋体" w:cs="宋体"/>
          <w:b w:val="0"/>
          <w:bCs w:val="0"/>
          <w:color w:val="auto"/>
          <w:sz w:val="24"/>
          <w:szCs w:val="24"/>
          <w:highlight w:val="none"/>
        </w:rPr>
        <w:t>8、有效</w:t>
      </w:r>
      <w:r>
        <w:rPr>
          <w:rFonts w:hint="eastAsia" w:ascii="宋体" w:hAnsi="宋体"/>
          <w:b w:val="0"/>
          <w:bCs w:val="0"/>
          <w:color w:val="auto"/>
          <w:sz w:val="24"/>
          <w:szCs w:val="24"/>
          <w:highlight w:val="none"/>
        </w:rPr>
        <w:t>期限：与本公司报价文件注的</w:t>
      </w:r>
      <w:r>
        <w:rPr>
          <w:rFonts w:hint="eastAsia" w:ascii="宋体" w:hAnsi="宋体"/>
          <w:b w:val="0"/>
          <w:bCs w:val="0"/>
          <w:color w:val="auto"/>
          <w:sz w:val="24"/>
          <w:szCs w:val="24"/>
          <w:highlight w:val="none"/>
          <w:lang w:eastAsia="zh-CN"/>
        </w:rPr>
        <w:t>报价</w:t>
      </w:r>
      <w:r>
        <w:rPr>
          <w:rFonts w:hint="eastAsia" w:ascii="宋体" w:hAnsi="宋体"/>
          <w:b w:val="0"/>
          <w:bCs w:val="0"/>
          <w:color w:val="auto"/>
          <w:sz w:val="24"/>
          <w:szCs w:val="24"/>
          <w:highlight w:val="none"/>
        </w:rPr>
        <w:t>有效期相同，自本单位盖公章之日起生效。</w:t>
      </w:r>
    </w:p>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auto"/>
          <w:sz w:val="24"/>
          <w:szCs w:val="24"/>
          <w:highlight w:val="none"/>
        </w:rPr>
      </w:pPr>
      <w:r>
        <w:rPr>
          <w:rFonts w:ascii="宋体" w:hAnsi="宋体" w:cs="宋体"/>
          <w:b w:val="0"/>
          <w:bCs w:val="0"/>
          <w:i w:val="0"/>
          <w:iCs w:val="0"/>
          <w:color w:val="auto"/>
          <w:sz w:val="21"/>
          <w:szCs w:val="21"/>
          <w:highlight w:val="none"/>
          <w:u w:val="none"/>
        </w:rPr>
        <mc:AlternateContent>
          <mc:Choice Requires="wps">
            <w:drawing>
              <wp:inline distT="0" distB="0" distL="114935" distR="114935">
                <wp:extent cx="5765165" cy="2400300"/>
                <wp:effectExtent l="4445" t="4445" r="21590" b="14605"/>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5765165" cy="2400300"/>
                        </a:xfrm>
                        <a:prstGeom prst="flowChartAlternateProcess">
                          <a:avLst/>
                        </a:prstGeom>
                        <a:solidFill>
                          <a:srgbClr val="FFFFFF"/>
                        </a:solidFill>
                        <a:ln w="9525" cmpd="sng">
                          <a:solidFill>
                            <a:srgbClr val="000000"/>
                          </a:solidFill>
                          <a:miter lim="800000"/>
                        </a:ln>
                      </wps:spPr>
                      <wps:txbx>
                        <w:txbxContent>
                          <w:p>
                            <w:pPr>
                              <w:jc w:val="center"/>
                              <w:rPr>
                                <w:rFonts w:hAnsi="宋体"/>
                                <w:szCs w:val="21"/>
                              </w:rPr>
                            </w:pPr>
                          </w:p>
                          <w:p>
                            <w:pPr>
                              <w:jc w:val="center"/>
                              <w:rPr>
                                <w:rFonts w:hAnsi="宋体"/>
                                <w:szCs w:val="21"/>
                              </w:rPr>
                            </w:pPr>
                          </w:p>
                          <w:p>
                            <w:pPr>
                              <w:jc w:val="center"/>
                              <w:rPr>
                                <w:rFonts w:hAnsi="宋体"/>
                                <w:b w:val="0"/>
                                <w:bCs w:val="0"/>
                                <w:szCs w:val="21"/>
                              </w:rPr>
                            </w:pPr>
                          </w:p>
                          <w:p>
                            <w:pPr>
                              <w:jc w:val="center"/>
                              <w:rPr>
                                <w:b w:val="0"/>
                                <w:bCs w:val="0"/>
                                <w:szCs w:val="21"/>
                              </w:rPr>
                            </w:pPr>
                            <w:r>
                              <w:rPr>
                                <w:rFonts w:hint="eastAsia" w:hAnsi="宋体"/>
                                <w:b w:val="0"/>
                                <w:bCs w:val="0"/>
                                <w:szCs w:val="21"/>
                              </w:rPr>
                              <w:t>被授权代表身</w:t>
                            </w:r>
                            <w:r>
                              <w:rPr>
                                <w:rFonts w:hint="eastAsia" w:ascii="宋体" w:hAnsi="宋体" w:cs="宋体"/>
                                <w:b w:val="0"/>
                                <w:bCs w:val="0"/>
                                <w:szCs w:val="21"/>
                              </w:rPr>
                              <w:t>份证正面</w:t>
                            </w:r>
                            <w:r>
                              <w:rPr>
                                <w:rFonts w:hint="eastAsia" w:ascii="宋体" w:hAnsi="宋体" w:cs="宋体"/>
                                <w:b w:val="0"/>
                                <w:bCs w:val="0"/>
                                <w:szCs w:val="21"/>
                                <w:lang w:val="en-US" w:eastAsia="zh-CN"/>
                              </w:rPr>
                              <w:t>和</w:t>
                            </w:r>
                            <w:r>
                              <w:rPr>
                                <w:rFonts w:hint="eastAsia" w:ascii="宋体" w:hAnsi="宋体" w:cs="宋体"/>
                                <w:b w:val="0"/>
                                <w:bCs w:val="0"/>
                                <w:szCs w:val="21"/>
                              </w:rPr>
                              <w:t>反面</w:t>
                            </w:r>
                            <w:r>
                              <w:rPr>
                                <w:rFonts w:hint="eastAsia" w:hAnsi="宋体"/>
                                <w:b w:val="0"/>
                                <w:bCs w:val="0"/>
                                <w:szCs w:val="21"/>
                              </w:rPr>
                              <w:t>复印件</w:t>
                            </w:r>
                          </w:p>
                        </w:txbxContent>
                      </wps:txbx>
                      <wps:bodyPr rot="0" vert="horz" wrap="square" lIns="91440" tIns="45720" rIns="91440" bIns="45720" anchor="t" anchorCtr="0" upright="1">
                        <a:noAutofit/>
                      </wps:bodyPr>
                    </wps:wsp>
                  </a:graphicData>
                </a:graphic>
              </wp:inline>
            </w:drawing>
          </mc:Choice>
          <mc:Fallback>
            <w:pict>
              <v:shape id="_x0000_s1026" o:spid="_x0000_s1026" o:spt="176" type="#_x0000_t176" style="height:189pt;width:453.95pt;" fillcolor="#FFFFFF" filled="t" stroked="t" coordsize="21600,21600" o:gfxdata="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LmrvztUAAAAFAQAADwAAAAAAAAABACAAAAAiAAAAZHJzL2Rvd25yZXYueG1sUEsBAhQA&#10;FAAAAAgAh07iQLIEa4VnAgAArAQAAA4AAAAAAAAAAQAgAAAAJAEAAGRycy9lMm9Eb2MueG1sUEsF&#10;BgAAAAAGAAYAWQEAAP0FA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b w:val="0"/>
                          <w:bCs w:val="0"/>
                          <w:szCs w:val="21"/>
                        </w:rPr>
                      </w:pPr>
                    </w:p>
                    <w:p>
                      <w:pPr>
                        <w:jc w:val="center"/>
                        <w:rPr>
                          <w:b w:val="0"/>
                          <w:bCs w:val="0"/>
                          <w:szCs w:val="21"/>
                        </w:rPr>
                      </w:pPr>
                      <w:r>
                        <w:rPr>
                          <w:rFonts w:hint="eastAsia" w:hAnsi="宋体"/>
                          <w:b w:val="0"/>
                          <w:bCs w:val="0"/>
                          <w:szCs w:val="21"/>
                        </w:rPr>
                        <w:t>被授权代表身</w:t>
                      </w:r>
                      <w:r>
                        <w:rPr>
                          <w:rFonts w:hint="eastAsia" w:ascii="宋体" w:hAnsi="宋体" w:cs="宋体"/>
                          <w:b w:val="0"/>
                          <w:bCs w:val="0"/>
                          <w:szCs w:val="21"/>
                        </w:rPr>
                        <w:t>份证正面</w:t>
                      </w:r>
                      <w:r>
                        <w:rPr>
                          <w:rFonts w:hint="eastAsia" w:ascii="宋体" w:hAnsi="宋体" w:cs="宋体"/>
                          <w:b w:val="0"/>
                          <w:bCs w:val="0"/>
                          <w:szCs w:val="21"/>
                          <w:lang w:val="en-US" w:eastAsia="zh-CN"/>
                        </w:rPr>
                        <w:t>和</w:t>
                      </w:r>
                      <w:r>
                        <w:rPr>
                          <w:rFonts w:hint="eastAsia" w:ascii="宋体" w:hAnsi="宋体" w:cs="宋体"/>
                          <w:b w:val="0"/>
                          <w:bCs w:val="0"/>
                          <w:szCs w:val="21"/>
                        </w:rPr>
                        <w:t>反面</w:t>
                      </w:r>
                      <w:r>
                        <w:rPr>
                          <w:rFonts w:hint="eastAsia" w:hAnsi="宋体"/>
                          <w:b w:val="0"/>
                          <w:bCs w:val="0"/>
                          <w:szCs w:val="21"/>
                        </w:rPr>
                        <w:t>复印件</w:t>
                      </w:r>
                    </w:p>
                  </w:txbxContent>
                </v:textbox>
                <w10:wrap type="none"/>
                <w10:anchorlock/>
              </v:shape>
            </w:pict>
          </mc:Fallback>
        </mc:AlternateContent>
      </w:r>
    </w:p>
    <w:p>
      <w:pPr>
        <w:pStyle w:val="7"/>
        <w:keepNext w:val="0"/>
        <w:keepLines w:val="0"/>
        <w:pageBreakBefore w:val="0"/>
        <w:widowControl w:val="0"/>
        <w:numPr>
          <w:ilvl w:val="0"/>
          <w:numId w:val="10"/>
        </w:numPr>
        <w:tabs>
          <w:tab w:val="left" w:pos="0"/>
          <w:tab w:val="clear" w:pos="42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单位负责人为同一人或者存在直接控股、管理关系的不同报价人，不得参加同一合同项下的谈判活动，供应商在参与本次谈判活动中未有围标、串标行为。并出具《无围标、串标行为承诺书》、《无关联关系声明函》（加盖公章）。</w:t>
      </w:r>
    </w:p>
    <w:p>
      <w:pPr>
        <w:pStyle w:val="5"/>
        <w:tabs>
          <w:tab w:val="center" w:pos="4450"/>
          <w:tab w:val="left" w:pos="6396"/>
        </w:tabs>
        <w:jc w:val="center"/>
        <w:rPr>
          <w:rFonts w:hint="eastAsia" w:ascii="宋体" w:hAnsi="宋体" w:eastAsia="宋体" w:cs="宋体"/>
        </w:rPr>
      </w:pPr>
    </w:p>
    <w:p>
      <w:pPr>
        <w:pStyle w:val="5"/>
        <w:keepNext/>
        <w:keepLines/>
        <w:pageBreakBefore w:val="0"/>
        <w:widowControl w:val="0"/>
        <w:tabs>
          <w:tab w:val="center" w:pos="4450"/>
          <w:tab w:val="left" w:pos="6396"/>
        </w:tabs>
        <w:kinsoku/>
        <w:wordWrap/>
        <w:overflowPunct/>
        <w:topLinePunct w:val="0"/>
        <w:autoSpaceDE/>
        <w:autoSpaceDN/>
        <w:bidi w:val="0"/>
        <w:adjustRightInd/>
        <w:snapToGrid/>
        <w:spacing w:before="0" w:after="0" w:line="416" w:lineRule="auto"/>
        <w:jc w:val="center"/>
        <w:textAlignment w:val="auto"/>
        <w:rPr>
          <w:rFonts w:hint="eastAsia" w:ascii="宋体" w:hAnsi="宋体" w:eastAsia="宋体" w:cs="宋体"/>
          <w:lang w:eastAsia="zh-CN"/>
        </w:rPr>
      </w:pPr>
      <w:r>
        <w:rPr>
          <w:rFonts w:hint="eastAsia" w:ascii="宋体" w:hAnsi="宋体" w:eastAsia="宋体" w:cs="宋体"/>
        </w:rPr>
        <w:t>无围标、串标行为</w:t>
      </w:r>
      <w:r>
        <w:rPr>
          <w:rFonts w:hint="eastAsia" w:ascii="宋体" w:hAnsi="宋体" w:eastAsia="宋体" w:cs="宋体"/>
          <w:lang w:eastAsia="zh-CN"/>
        </w:rPr>
        <w:t>声明函</w:t>
      </w:r>
    </w:p>
    <w:p>
      <w:pPr>
        <w:rPr>
          <w:rFonts w:hint="eastAsia" w:ascii="宋体" w:hAnsi="宋体" w:eastAsia="宋体" w:cs="宋体"/>
        </w:rPr>
      </w:pP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本公司郑重</w:t>
      </w:r>
      <w:r>
        <w:rPr>
          <w:rFonts w:hint="eastAsia" w:ascii="宋体" w:hAnsi="宋体" w:eastAsia="宋体" w:cs="宋体"/>
          <w:sz w:val="24"/>
          <w:lang w:eastAsia="zh-CN"/>
        </w:rPr>
        <w:t>声明</w:t>
      </w:r>
      <w:r>
        <w:rPr>
          <w:rFonts w:hint="eastAsia" w:ascii="宋体" w:hAnsi="宋体" w:eastAsia="宋体" w:cs="宋体"/>
          <w:sz w:val="24"/>
        </w:rPr>
        <w:t>：本公司在参加本次</w:t>
      </w:r>
      <w:r>
        <w:rPr>
          <w:rFonts w:hint="eastAsia" w:ascii="宋体" w:hAnsi="宋体" w:eastAsia="宋体" w:cs="宋体"/>
          <w:sz w:val="24"/>
          <w:u w:val="none"/>
          <w:lang w:eastAsia="zh-CN"/>
        </w:rPr>
        <w:t>中山市小榄人民医院</w:t>
      </w:r>
      <w:r>
        <w:rPr>
          <w:rFonts w:hint="eastAsia" w:ascii="宋体" w:hAnsi="宋体" w:cs="宋体"/>
          <w:sz w:val="24"/>
          <w:u w:val="single"/>
          <w:lang w:val="en-US" w:eastAsia="zh-CN"/>
        </w:rPr>
        <w:t xml:space="preserve">                 </w:t>
      </w:r>
      <w:r>
        <w:rPr>
          <w:rFonts w:hint="eastAsia" w:ascii="宋体" w:hAnsi="宋体" w:cs="宋体"/>
          <w:sz w:val="24"/>
          <w:u w:val="none"/>
          <w:lang w:val="en-US" w:eastAsia="zh-CN"/>
        </w:rPr>
        <w:t>谈判</w:t>
      </w:r>
      <w:r>
        <w:rPr>
          <w:rFonts w:hint="eastAsia" w:ascii="宋体" w:hAnsi="宋体" w:eastAsia="宋体" w:cs="宋体"/>
          <w:sz w:val="24"/>
          <w:u w:val="none"/>
          <w:lang w:eastAsia="zh-CN"/>
        </w:rPr>
        <w:t>项目</w:t>
      </w:r>
      <w:r>
        <w:rPr>
          <w:rFonts w:hint="eastAsia" w:ascii="宋体" w:hAnsi="宋体" w:eastAsia="宋体" w:cs="宋体"/>
          <w:sz w:val="24"/>
        </w:rPr>
        <w:t>采购活动中，无以下围标、串标行为。</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由同一单位或者个人编制；</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不同供应商委托同一单位或者个人办理响应事宜；</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载明的项目管理成员或者联系人员为同一人；</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异常一致或者响应报价呈规律性差异；</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相互混装；</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不同供应商的董事、监事、高管、单位负责人为同一人或者存在控股、管理关系的不同单位参加同一包组项目；</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法律法规界定的其他围标串标行为</w:t>
      </w:r>
      <w:r>
        <w:rPr>
          <w:rFonts w:hint="eastAsia" w:ascii="宋体" w:hAnsi="宋体" w:cs="宋体"/>
          <w:sz w:val="24"/>
          <w:lang w:eastAsia="zh-CN"/>
        </w:rPr>
        <w:t>；</w:t>
      </w:r>
    </w:p>
    <w:p>
      <w:pPr>
        <w:spacing w:line="360" w:lineRule="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如有发现我公司存在围标、串标行为，我公司愿承担一切法律责任。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特此</w:t>
      </w:r>
      <w:r>
        <w:rPr>
          <w:rFonts w:hint="eastAsia" w:ascii="宋体" w:hAnsi="宋体" w:eastAsia="宋体" w:cs="宋体"/>
          <w:sz w:val="24"/>
          <w:lang w:eastAsia="zh-CN"/>
        </w:rPr>
        <w:t>声明</w:t>
      </w:r>
      <w:r>
        <w:rPr>
          <w:rFonts w:hint="eastAsia" w:ascii="宋体" w:hAnsi="宋体" w:eastAsia="宋体" w:cs="宋体"/>
          <w:sz w:val="24"/>
        </w:rPr>
        <w:t>。</w:t>
      </w:r>
    </w:p>
    <w:p>
      <w:pPr>
        <w:spacing w:before="156" w:beforeLines="50" w:after="156" w:afterLines="50" w:line="360" w:lineRule="auto"/>
        <w:ind w:firstLine="480" w:firstLineChars="200"/>
        <w:rPr>
          <w:rFonts w:hint="eastAsia" w:ascii="宋体" w:hAnsi="宋体" w:eastAsia="宋体" w:cs="宋体"/>
          <w:sz w:val="24"/>
        </w:rPr>
      </w:pPr>
    </w:p>
    <w:p>
      <w:pPr>
        <w:spacing w:before="156" w:beforeLines="50" w:after="156" w:afterLines="50" w:line="360" w:lineRule="auto"/>
        <w:rPr>
          <w:rFonts w:hint="eastAsia" w:ascii="宋体" w:hAnsi="宋体" w:eastAsia="宋体" w:cs="宋体"/>
          <w:sz w:val="24"/>
          <w:vertAlign w:val="baseline"/>
        </w:rPr>
      </w:pPr>
      <w:r>
        <w:rPr>
          <w:rFonts w:hint="eastAsia" w:ascii="宋体" w:hAnsi="宋体" w:eastAsia="宋体" w:cs="宋体"/>
          <w:sz w:val="24"/>
        </w:rPr>
        <w:t xml:space="preserve">                    </w:t>
      </w:r>
    </w:p>
    <w:p>
      <w:pPr>
        <w:spacing w:before="156" w:beforeLines="50" w:after="156" w:afterLines="50" w:line="360" w:lineRule="auto"/>
        <w:rPr>
          <w:rFonts w:hint="eastAsia"/>
        </w:rPr>
      </w:pPr>
      <w:r>
        <w:rPr>
          <w:rFonts w:hint="eastAsia" w:ascii="宋体" w:hAnsi="宋体" w:eastAsia="宋体" w:cs="宋体"/>
          <w:sz w:val="24"/>
        </w:rPr>
        <w:t>供应商名称（加盖公章）：</w:t>
      </w:r>
    </w:p>
    <w:p>
      <w:pPr>
        <w:spacing w:before="156" w:beforeLines="50" w:after="156" w:afterLines="50" w:line="360" w:lineRule="auto"/>
        <w:rPr>
          <w:rFonts w:hint="eastAsia" w:ascii="宋体" w:hAnsi="宋体" w:eastAsia="宋体" w:cs="宋体"/>
          <w:sz w:val="24"/>
        </w:rPr>
      </w:pPr>
      <w:r>
        <w:rPr>
          <w:rFonts w:hint="eastAsia" w:ascii="宋体" w:hAnsi="宋体" w:eastAsia="宋体" w:cs="宋体"/>
          <w:sz w:val="24"/>
        </w:rPr>
        <w:t>法定代表人或其委托人签字：</w:t>
      </w:r>
    </w:p>
    <w:p>
      <w:pPr>
        <w:spacing w:before="156" w:beforeLines="50" w:after="156" w:afterLines="50" w:line="360" w:lineRule="auto"/>
        <w:rPr>
          <w:rFonts w:hint="eastAsia" w:ascii="宋体" w:hAnsi="宋体" w:eastAsia="宋体" w:cs="宋体"/>
          <w:sz w:val="24"/>
        </w:rPr>
      </w:pPr>
      <w:r>
        <w:rPr>
          <w:rFonts w:hint="eastAsia" w:ascii="宋体" w:hAnsi="宋体" w:eastAsia="宋体" w:cs="宋体"/>
          <w:sz w:val="24"/>
        </w:rPr>
        <w:t>日期：</w:t>
      </w:r>
      <w:r>
        <w:rPr>
          <w:rFonts w:hint="eastAsia" w:ascii="宋体" w:hAnsi="宋体" w:cs="宋体"/>
          <w:sz w:val="24"/>
          <w:lang w:val="en-US" w:eastAsia="zh-CN"/>
        </w:rPr>
        <w:t xml:space="preserve">     </w:t>
      </w:r>
      <w:r>
        <w:rPr>
          <w:rFonts w:hint="eastAsia" w:ascii="宋体" w:hAnsi="宋体" w:eastAsia="宋体" w:cs="宋体"/>
          <w:sz w:val="24"/>
        </w:rPr>
        <w:t xml:space="preserve"> 年 </w:t>
      </w:r>
      <w:r>
        <w:rPr>
          <w:rFonts w:hint="eastAsia" w:ascii="宋体" w:hAnsi="宋体" w:cs="宋体"/>
          <w:sz w:val="24"/>
          <w:lang w:val="en-US" w:eastAsia="zh-CN"/>
        </w:rPr>
        <w:t xml:space="preserve">   </w:t>
      </w:r>
      <w:r>
        <w:rPr>
          <w:rFonts w:hint="eastAsia" w:ascii="宋体" w:hAnsi="宋体" w:eastAsia="宋体" w:cs="宋体"/>
          <w:sz w:val="24"/>
        </w:rPr>
        <w:t>月</w:t>
      </w:r>
      <w:r>
        <w:rPr>
          <w:rFonts w:hint="eastAsia" w:ascii="宋体" w:hAnsi="宋体" w:cs="宋体"/>
          <w:sz w:val="24"/>
          <w:lang w:val="en-US" w:eastAsia="zh-CN"/>
        </w:rPr>
        <w:t xml:space="preserve">   </w:t>
      </w:r>
      <w:r>
        <w:rPr>
          <w:rFonts w:hint="eastAsia" w:ascii="宋体" w:hAnsi="宋体" w:eastAsia="宋体" w:cs="宋体"/>
          <w:sz w:val="24"/>
        </w:rPr>
        <w:t>日</w:t>
      </w:r>
    </w:p>
    <w:p>
      <w:pPr>
        <w:widowControl w:val="0"/>
        <w:numPr>
          <w:ilvl w:val="0"/>
          <w:numId w:val="0"/>
        </w:numPr>
        <w:tabs>
          <w:tab w:val="left" w:pos="420"/>
        </w:tabs>
        <w:jc w:val="both"/>
        <w:rPr>
          <w:rFonts w:hint="eastAsia" w:ascii="宋体" w:hAnsi="宋体" w:eastAsia="宋体" w:cs="宋体"/>
          <w:b w:val="0"/>
          <w:bCs/>
          <w:color w:val="auto"/>
          <w:sz w:val="24"/>
          <w:szCs w:val="24"/>
          <w:highlight w:val="none"/>
        </w:rPr>
      </w:pPr>
    </w:p>
    <w:p>
      <w:pPr>
        <w:pStyle w:val="19"/>
        <w:rPr>
          <w:rFonts w:hint="eastAsia" w:ascii="宋体" w:hAnsi="宋体" w:eastAsia="宋体" w:cs="宋体"/>
          <w:b w:val="0"/>
          <w:bCs/>
          <w:color w:val="auto"/>
          <w:sz w:val="24"/>
          <w:szCs w:val="24"/>
          <w:highlight w:val="none"/>
        </w:rPr>
      </w:pPr>
    </w:p>
    <w:p>
      <w:pPr>
        <w:pStyle w:val="19"/>
        <w:rPr>
          <w:rFonts w:hint="eastAsia" w:ascii="宋体" w:hAnsi="宋体" w:eastAsia="宋体" w:cs="宋体"/>
          <w:b w:val="0"/>
          <w:bCs/>
          <w:color w:val="auto"/>
          <w:sz w:val="24"/>
          <w:szCs w:val="24"/>
          <w:highlight w:val="none"/>
        </w:rPr>
      </w:pPr>
    </w:p>
    <w:p>
      <w:pPr>
        <w:pStyle w:val="19"/>
        <w:ind w:left="0" w:leftChars="0" w:firstLine="0" w:firstLineChars="0"/>
        <w:rPr>
          <w:rFonts w:hint="eastAsia" w:ascii="宋体" w:hAnsi="宋体" w:eastAsia="宋体" w:cs="宋体"/>
          <w:b w:val="0"/>
          <w:bCs/>
          <w:color w:val="auto"/>
          <w:sz w:val="24"/>
          <w:szCs w:val="24"/>
          <w:highlight w:val="none"/>
        </w:rPr>
      </w:pPr>
    </w:p>
    <w:p>
      <w:pPr>
        <w:pStyle w:val="7"/>
        <w:keepNext w:val="0"/>
        <w:keepLines w:val="0"/>
        <w:pageBreakBefore w:val="0"/>
        <w:widowControl w:val="0"/>
        <w:numPr>
          <w:ilvl w:val="0"/>
          <w:numId w:val="10"/>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企业资信</w:t>
      </w:r>
    </w:p>
    <w:p>
      <w:pPr>
        <w:pStyle w:val="7"/>
        <w:keepNext w:val="0"/>
        <w:keepLines w:val="0"/>
        <w:pageBreakBefore w:val="0"/>
        <w:widowControl w:val="0"/>
        <w:numPr>
          <w:ilvl w:val="0"/>
          <w:numId w:val="10"/>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拟投入本项目人员情况</w:t>
      </w:r>
    </w:p>
    <w:p>
      <w:pPr>
        <w:pStyle w:val="7"/>
        <w:keepNext w:val="0"/>
        <w:keepLines w:val="0"/>
        <w:pageBreakBefore w:val="0"/>
        <w:widowControl w:val="0"/>
        <w:numPr>
          <w:ilvl w:val="0"/>
          <w:numId w:val="10"/>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运营技术总体方案</w:t>
      </w:r>
      <w:bookmarkStart w:id="6" w:name="_GoBack"/>
      <w:bookmarkEnd w:id="6"/>
    </w:p>
    <w:p>
      <w:pPr>
        <w:pStyle w:val="7"/>
        <w:keepNext w:val="0"/>
        <w:keepLines w:val="0"/>
        <w:pageBreakBefore w:val="0"/>
        <w:widowControl w:val="0"/>
        <w:numPr>
          <w:ilvl w:val="0"/>
          <w:numId w:val="10"/>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近三年报价产品合同复印件或成交通知书</w:t>
      </w:r>
    </w:p>
    <w:p>
      <w:pPr>
        <w:pStyle w:val="3"/>
        <w:ind w:left="0" w:leftChars="0" w:firstLine="0" w:firstLineChars="0"/>
        <w:rPr>
          <w:rFonts w:hint="eastAsia" w:ascii="宋体" w:hAnsi="宋体" w:eastAsia="宋体" w:cs="宋体"/>
          <w:color w:val="auto"/>
          <w:sz w:val="24"/>
          <w:szCs w:val="24"/>
          <w:highlight w:val="none"/>
          <w:lang w:val="en-US" w:eastAsia="zh-CN"/>
        </w:rPr>
      </w:pPr>
    </w:p>
    <w:p/>
    <w:sectPr>
      <w:pgSz w:w="11907" w:h="16840"/>
      <w:pgMar w:top="1418" w:right="1418" w:bottom="1418" w:left="1418" w:header="567" w:footer="748"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61007A87" w:usb1="80000000" w:usb2="00000008" w:usb3="00000000" w:csb0="200101FF" w:csb1="2028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tab w:relativeTo="margin" w:alignment="right" w:leader="none"/>
    </w:r>
    <w:r>
      <w:ptab w:relativeTo="margin" w:alignment="lef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8"/>
      </w:rPr>
    </w:pPr>
    <w:r>
      <w:fldChar w:fldCharType="begin"/>
    </w:r>
    <w:r>
      <w:rPr>
        <w:rStyle w:val="18"/>
      </w:rPr>
      <w:instrText xml:space="preserve">PAGE  </w:instrText>
    </w:r>
    <w:r>
      <w:fldChar w:fldCharType="separate"/>
    </w:r>
    <w:r>
      <w:rPr>
        <w:rStyle w:val="18"/>
      </w:rPr>
      <w:t>47</w:t>
    </w:r>
    <w:r>
      <w:fldChar w:fldCharType="end"/>
    </w:r>
  </w:p>
  <w:p>
    <w:pPr>
      <w:pStyle w:val="8"/>
      <w:ind w:right="-1"/>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tabs>
        <w:tab w:val="left" w:pos="7133"/>
        <w:tab w:val="clear" w:pos="8306"/>
      </w:tabs>
      <w:jc w:val="left"/>
      <w:rPr>
        <w:rFonts w:hint="eastAsia" w:ascii="宋体" w:hAnsi="宋体" w:eastAsia="宋体"/>
        <w:bCs/>
        <w:highlight w:val="yellow"/>
        <w:u w:val="single"/>
        <w:lang w:eastAsia="zh-CN"/>
      </w:rPr>
    </w:pPr>
    <w:r>
      <w:rPr>
        <w:rFonts w:hint="eastAsia" w:ascii="宋体" w:hAnsi="宋体"/>
        <w:bCs/>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E5ED39"/>
    <w:multiLevelType w:val="singleLevel"/>
    <w:tmpl w:val="A1E5ED39"/>
    <w:lvl w:ilvl="0" w:tentative="0">
      <w:start w:val="3"/>
      <w:numFmt w:val="chineseCounting"/>
      <w:suff w:val="space"/>
      <w:lvlText w:val="第%1部分"/>
      <w:lvlJc w:val="left"/>
      <w:rPr>
        <w:rFonts w:hint="eastAsia"/>
      </w:rPr>
    </w:lvl>
  </w:abstractNum>
  <w:abstractNum w:abstractNumId="1">
    <w:nsid w:val="AEB13B3A"/>
    <w:multiLevelType w:val="singleLevel"/>
    <w:tmpl w:val="AEB13B3A"/>
    <w:lvl w:ilvl="0" w:tentative="0">
      <w:start w:val="1"/>
      <w:numFmt w:val="decimal"/>
      <w:suff w:val="space"/>
      <w:lvlText w:val="（%1）"/>
      <w:lvlJc w:val="left"/>
    </w:lvl>
  </w:abstractNum>
  <w:abstractNum w:abstractNumId="2">
    <w:nsid w:val="C47A6F56"/>
    <w:multiLevelType w:val="singleLevel"/>
    <w:tmpl w:val="C47A6F56"/>
    <w:lvl w:ilvl="0" w:tentative="0">
      <w:start w:val="1"/>
      <w:numFmt w:val="decimal"/>
      <w:suff w:val="nothing"/>
      <w:lvlText w:val="（%1）"/>
      <w:lvlJc w:val="left"/>
    </w:lvl>
  </w:abstractNum>
  <w:abstractNum w:abstractNumId="3">
    <w:nsid w:val="D467ED1D"/>
    <w:multiLevelType w:val="singleLevel"/>
    <w:tmpl w:val="D467ED1D"/>
    <w:lvl w:ilvl="0" w:tentative="0">
      <w:start w:val="1"/>
      <w:numFmt w:val="decimal"/>
      <w:lvlText w:val="%1."/>
      <w:lvlJc w:val="left"/>
      <w:pPr>
        <w:ind w:left="425" w:hanging="425"/>
      </w:pPr>
      <w:rPr>
        <w:rFonts w:hint="default"/>
      </w:rPr>
    </w:lvl>
  </w:abstractNum>
  <w:abstractNum w:abstractNumId="4">
    <w:nsid w:val="09E1A69B"/>
    <w:multiLevelType w:val="singleLevel"/>
    <w:tmpl w:val="09E1A69B"/>
    <w:lvl w:ilvl="0" w:tentative="0">
      <w:start w:val="1"/>
      <w:numFmt w:val="decimal"/>
      <w:suff w:val="nothing"/>
      <w:lvlText w:val="（%1）"/>
      <w:lvlJc w:val="left"/>
    </w:lvl>
  </w:abstractNum>
  <w:abstractNum w:abstractNumId="5">
    <w:nsid w:val="1E7E8738"/>
    <w:multiLevelType w:val="singleLevel"/>
    <w:tmpl w:val="1E7E8738"/>
    <w:lvl w:ilvl="0" w:tentative="0">
      <w:start w:val="1"/>
      <w:numFmt w:val="chineseCounting"/>
      <w:suff w:val="nothing"/>
      <w:lvlText w:val="%1、"/>
      <w:lvlJc w:val="left"/>
      <w:rPr>
        <w:rFonts w:hint="eastAsia"/>
      </w:rPr>
    </w:lvl>
  </w:abstractNum>
  <w:abstractNum w:abstractNumId="6">
    <w:nsid w:val="28ED6BFA"/>
    <w:multiLevelType w:val="singleLevel"/>
    <w:tmpl w:val="28ED6BFA"/>
    <w:lvl w:ilvl="0" w:tentative="0">
      <w:start w:val="1"/>
      <w:numFmt w:val="decimal"/>
      <w:lvlText w:val="%1."/>
      <w:lvlJc w:val="left"/>
      <w:pPr>
        <w:tabs>
          <w:tab w:val="left" w:pos="420"/>
        </w:tabs>
        <w:ind w:left="425" w:leftChars="0" w:hanging="425" w:firstLineChars="0"/>
      </w:pPr>
      <w:rPr>
        <w:rFonts w:hint="default"/>
      </w:rPr>
    </w:lvl>
  </w:abstractNum>
  <w:abstractNum w:abstractNumId="7">
    <w:nsid w:val="4EB5DD51"/>
    <w:multiLevelType w:val="singleLevel"/>
    <w:tmpl w:val="4EB5DD51"/>
    <w:lvl w:ilvl="0" w:tentative="0">
      <w:start w:val="1"/>
      <w:numFmt w:val="decimal"/>
      <w:suff w:val="space"/>
      <w:lvlText w:val="（%1）"/>
      <w:lvlJc w:val="left"/>
    </w:lvl>
  </w:abstractNum>
  <w:abstractNum w:abstractNumId="8">
    <w:nsid w:val="646BD74C"/>
    <w:multiLevelType w:val="singleLevel"/>
    <w:tmpl w:val="646BD74C"/>
    <w:lvl w:ilvl="0" w:tentative="0">
      <w:start w:val="1"/>
      <w:numFmt w:val="decimal"/>
      <w:suff w:val="space"/>
      <w:lvlText w:val="%1."/>
      <w:lvlJc w:val="left"/>
    </w:lvl>
  </w:abstractNum>
  <w:abstractNum w:abstractNumId="9">
    <w:nsid w:val="6E224123"/>
    <w:multiLevelType w:val="singleLevel"/>
    <w:tmpl w:val="6E224123"/>
    <w:lvl w:ilvl="0" w:tentative="0">
      <w:start w:val="1"/>
      <w:numFmt w:val="decimal"/>
      <w:suff w:val="space"/>
      <w:lvlText w:val="（%1）"/>
      <w:lvlJc w:val="left"/>
    </w:lvl>
  </w:abstractNum>
  <w:abstractNum w:abstractNumId="10">
    <w:nsid w:val="6FEF5E58"/>
    <w:multiLevelType w:val="singleLevel"/>
    <w:tmpl w:val="6FEF5E58"/>
    <w:lvl w:ilvl="0" w:tentative="0">
      <w:start w:val="1"/>
      <w:numFmt w:val="decimal"/>
      <w:lvlText w:val="%1."/>
      <w:lvlJc w:val="left"/>
      <w:pPr>
        <w:ind w:left="425" w:hanging="425"/>
      </w:pPr>
      <w:rPr>
        <w:rFonts w:hint="default"/>
      </w:rPr>
    </w:lvl>
  </w:abstractNum>
  <w:num w:numId="1">
    <w:abstractNumId w:val="5"/>
  </w:num>
  <w:num w:numId="2">
    <w:abstractNumId w:val="3"/>
  </w:num>
  <w:num w:numId="3">
    <w:abstractNumId w:val="8"/>
  </w:num>
  <w:num w:numId="4">
    <w:abstractNumId w:val="2"/>
  </w:num>
  <w:num w:numId="5">
    <w:abstractNumId w:val="7"/>
  </w:num>
  <w:num w:numId="6">
    <w:abstractNumId w:val="4"/>
  </w:num>
  <w:num w:numId="7">
    <w:abstractNumId w:val="1"/>
  </w:num>
  <w:num w:numId="8">
    <w:abstractNumId w:val="9"/>
  </w:num>
  <w:num w:numId="9">
    <w:abstractNumId w:val="0"/>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hN2FjMTIzOWMwMmUyMDUxYTM5YTAwMTlhYjYyYWQifQ=="/>
  </w:docVars>
  <w:rsids>
    <w:rsidRoot w:val="13F32450"/>
    <w:rsid w:val="00A62343"/>
    <w:rsid w:val="0824491C"/>
    <w:rsid w:val="13F32450"/>
    <w:rsid w:val="174F240F"/>
    <w:rsid w:val="19BD0BCC"/>
    <w:rsid w:val="1A7850C9"/>
    <w:rsid w:val="21946261"/>
    <w:rsid w:val="26E9186E"/>
    <w:rsid w:val="2FDE7907"/>
    <w:rsid w:val="4A963092"/>
    <w:rsid w:val="62951A17"/>
    <w:rsid w:val="73CD0149"/>
    <w:rsid w:val="78866507"/>
    <w:rsid w:val="79587DE9"/>
    <w:rsid w:val="79675089"/>
    <w:rsid w:val="7FA66E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5">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szCs w:val="20"/>
    </w:rPr>
  </w:style>
  <w:style w:type="paragraph" w:styleId="3">
    <w:name w:val="toc 5"/>
    <w:basedOn w:val="1"/>
    <w:next w:val="1"/>
    <w:qFormat/>
    <w:uiPriority w:val="0"/>
    <w:pPr>
      <w:ind w:left="840"/>
      <w:jc w:val="left"/>
    </w:pPr>
    <w:rPr>
      <w:rFonts w:ascii="Calibri" w:hAnsi="Calibri"/>
      <w:sz w:val="18"/>
      <w:szCs w:val="18"/>
    </w:rPr>
  </w:style>
  <w:style w:type="paragraph" w:styleId="6">
    <w:name w:val="Body Text Indent"/>
    <w:basedOn w:val="1"/>
    <w:qFormat/>
    <w:uiPriority w:val="0"/>
    <w:pPr>
      <w:ind w:firstLine="830" w:firstLineChars="352"/>
    </w:pPr>
    <w:rPr>
      <w:rFonts w:ascii="仿宋_GB2312" w:eastAsia="仿宋_GB2312"/>
      <w:sz w:val="32"/>
      <w:szCs w:val="20"/>
    </w:rPr>
  </w:style>
  <w:style w:type="paragraph" w:styleId="7">
    <w:name w:val="Plain Text"/>
    <w:basedOn w:val="1"/>
    <w:qFormat/>
    <w:uiPriority w:val="0"/>
    <w:rPr>
      <w:rFonts w:ascii="宋体" w:hAnsi="Courier New" w:cs="Courier New"/>
      <w:szCs w:val="21"/>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tabs>
        <w:tab w:val="right" w:leader="dot" w:pos="9540"/>
      </w:tabs>
      <w:spacing w:line="360" w:lineRule="auto"/>
      <w:ind w:right="430" w:rightChars="205"/>
    </w:pPr>
    <w:rPr>
      <w:rFonts w:ascii="宋体" w:hAnsi="宋体"/>
      <w:b/>
      <w:kern w:val="0"/>
      <w:sz w:val="28"/>
      <w:szCs w:val="28"/>
    </w:rPr>
  </w:style>
  <w:style w:type="paragraph" w:styleId="11">
    <w:name w:val="Subtitle"/>
    <w:basedOn w:val="1"/>
    <w:next w:val="1"/>
    <w:qFormat/>
    <w:uiPriority w:val="0"/>
    <w:pPr>
      <w:adjustRightInd w:val="0"/>
      <w:spacing w:before="760" w:beforeLines="0" w:after="280" w:afterLines="0"/>
      <w:jc w:val="left"/>
      <w:textAlignment w:val="baseline"/>
    </w:pPr>
    <w:rPr>
      <w:rFonts w:ascii="Arial" w:hAnsi="Arial" w:eastAsia="黑体"/>
      <w:spacing w:val="40"/>
      <w:kern w:val="0"/>
      <w:sz w:val="30"/>
      <w:szCs w:val="20"/>
      <w:u w:val="single"/>
    </w:rPr>
  </w:style>
  <w:style w:type="paragraph" w:styleId="12">
    <w:name w:val="Normal (Web)"/>
    <w:basedOn w:val="1"/>
    <w:qFormat/>
    <w:uiPriority w:val="99"/>
    <w:pPr>
      <w:widowControl/>
      <w:spacing w:before="100" w:beforeLines="0" w:beforeAutospacing="1" w:after="100" w:afterLines="0" w:afterAutospacing="1"/>
      <w:jc w:val="left"/>
    </w:pPr>
    <w:rPr>
      <w:rFonts w:ascii="宋体" w:hAnsi="宋体"/>
      <w:color w:val="000000"/>
      <w:kern w:val="0"/>
      <w:sz w:val="24"/>
    </w:rPr>
  </w:style>
  <w:style w:type="paragraph" w:styleId="13">
    <w:name w:val="Body Text First Indent"/>
    <w:basedOn w:val="2"/>
    <w:next w:val="1"/>
    <w:qFormat/>
    <w:uiPriority w:val="0"/>
    <w:pPr>
      <w:spacing w:after="120" w:afterLines="0" w:line="240" w:lineRule="auto"/>
      <w:ind w:firstLine="420" w:firstLineChars="100"/>
    </w:pPr>
    <w:rPr>
      <w:szCs w:val="24"/>
    </w:rPr>
  </w:style>
  <w:style w:type="table" w:styleId="15">
    <w:name w:val="Table Grid"/>
    <w:basedOn w:val="1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7">
    <w:name w:val="Strong"/>
    <w:basedOn w:val="16"/>
    <w:qFormat/>
    <w:uiPriority w:val="0"/>
    <w:rPr>
      <w:rFonts w:ascii="Tahoma" w:hAnsi="Tahoma" w:eastAsia="宋体"/>
      <w:b/>
      <w:bCs/>
      <w:spacing w:val="10"/>
      <w:sz w:val="24"/>
      <w:lang w:val="en-US" w:eastAsia="zh-CN" w:bidi="ar-SA"/>
    </w:rPr>
  </w:style>
  <w:style w:type="character" w:styleId="18">
    <w:name w:val="page number"/>
    <w:basedOn w:val="16"/>
    <w:qFormat/>
    <w:uiPriority w:val="0"/>
  </w:style>
  <w:style w:type="paragraph" w:styleId="19">
    <w:name w:val="List Paragraph"/>
    <w:basedOn w:val="1"/>
    <w:qFormat/>
    <w:uiPriority w:val="34"/>
    <w:pPr>
      <w:ind w:firstLine="420" w:firstLineChars="200"/>
    </w:pPr>
    <w:rPr>
      <w:rFonts w:ascii="Calibri" w:hAnsi="Calibri"/>
      <w:szCs w:val="22"/>
    </w:rPr>
  </w:style>
  <w:style w:type="paragraph" w:customStyle="1" w:styleId="20">
    <w:name w:val="Body text|1"/>
    <w:basedOn w:val="1"/>
    <w:qFormat/>
    <w:uiPriority w:val="0"/>
    <w:pPr>
      <w:spacing w:line="422" w:lineRule="auto"/>
      <w:ind w:firstLine="360"/>
    </w:pPr>
    <w:rPr>
      <w:rFonts w:ascii="宋体" w:hAnsi="宋体" w:eastAsia="宋体" w:cs="宋体"/>
      <w:sz w:val="18"/>
      <w:szCs w:val="18"/>
      <w:lang w:val="zh-TW" w:eastAsia="zh-TW" w:bidi="zh-TW"/>
    </w:rPr>
  </w:style>
  <w:style w:type="paragraph" w:customStyle="1" w:styleId="21">
    <w:name w:val="图"/>
    <w:basedOn w:val="1"/>
    <w:qFormat/>
    <w:uiPriority w:val="0"/>
    <w:pPr>
      <w:keepNext/>
      <w:adjustRightInd w:val="0"/>
      <w:spacing w:before="60" w:beforeLines="0" w:after="60" w:afterLines="0" w:line="300" w:lineRule="auto"/>
      <w:jc w:val="center"/>
      <w:textAlignment w:val="center"/>
    </w:pPr>
    <w:rPr>
      <w:snapToGrid w:val="0"/>
      <w:spacing w:val="2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9245</Words>
  <Characters>9566</Characters>
  <Lines>0</Lines>
  <Paragraphs>0</Paragraphs>
  <TotalTime>1</TotalTime>
  <ScaleCrop>false</ScaleCrop>
  <LinksUpToDate>false</LinksUpToDate>
  <CharactersWithSpaces>9948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2022-10-13T03:27:00Z</dcterms:created>
  <dc:creator>Rebecca</dc:creator>
  <cp:lastModifiedBy>Rebecca</cp:lastModifiedBy>
  <dcterms:modified xsi:type="dcterms:W3CDTF">2023-02-24T08:54:04Z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E7BA3A01E01D4BD9B118B4C534D56E56</vt:lpwstr>
  </property>
</Properties>
</file>