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eastAsiaTheme="minorEastAsia"/>
          <w:b/>
          <w:bCs/>
          <w:color w:val="auto"/>
          <w:sz w:val="30"/>
          <w:szCs w:val="30"/>
          <w:lang w:eastAsia="zh-CN"/>
        </w:rPr>
      </w:pPr>
      <w:r>
        <w:rPr>
          <w:rFonts w:hint="eastAsia" w:ascii="宋体" w:hAnsi="宋体" w:eastAsia="宋体" w:cs="宋体"/>
          <w:b/>
          <w:bCs/>
          <w:color w:val="auto"/>
          <w:sz w:val="30"/>
          <w:szCs w:val="30"/>
          <w:lang w:eastAsia="zh-CN"/>
        </w:rPr>
        <w:t>中山市小榄人民医院</w:t>
      </w:r>
      <w:r>
        <w:rPr>
          <w:rFonts w:hint="eastAsia" w:ascii="宋体" w:hAnsi="宋体" w:eastAsia="宋体" w:cs="宋体"/>
          <w:b/>
          <w:bCs/>
          <w:color w:val="auto"/>
          <w:sz w:val="30"/>
          <w:szCs w:val="30"/>
        </w:rPr>
        <w:t>医保管理自查自纠服务</w:t>
      </w:r>
      <w:r>
        <w:rPr>
          <w:rFonts w:hint="eastAsia" w:ascii="宋体" w:hAnsi="宋体"/>
          <w:b/>
          <w:color w:val="auto"/>
          <w:sz w:val="30"/>
          <w:szCs w:val="30"/>
        </w:rPr>
        <w:t>采购</w:t>
      </w:r>
      <w:r>
        <w:rPr>
          <w:rFonts w:hint="eastAsia" w:ascii="宋体" w:hAnsi="宋体" w:eastAsia="宋体" w:cs="宋体"/>
          <w:b/>
          <w:bCs/>
          <w:color w:val="auto"/>
          <w:sz w:val="30"/>
          <w:szCs w:val="30"/>
          <w:lang w:val="en-US" w:eastAsia="zh-CN"/>
        </w:rPr>
        <w:t>需求</w:t>
      </w:r>
    </w:p>
    <w:p>
      <w:pPr>
        <w:rPr>
          <w:rFonts w:ascii="宋体" w:hAnsi="宋体" w:eastAsia="宋体" w:cs="宋体"/>
          <w:color w:val="auto"/>
          <w:szCs w:val="21"/>
        </w:rPr>
      </w:pP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一、采购项目名称:</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中山市小榄人民医院</w:t>
      </w:r>
      <w:r>
        <w:rPr>
          <w:rFonts w:hint="eastAsia" w:ascii="宋体" w:hAnsi="宋体" w:eastAsia="宋体" w:cs="宋体"/>
          <w:color w:val="auto"/>
          <w:szCs w:val="21"/>
        </w:rPr>
        <w:t>医保管理自查自纠服务</w:t>
      </w: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二、采购资格要求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须在中华人民共和国境内注册，具备有效的营业执照及法人主体；</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2、参与该项目的</w:t>
      </w:r>
      <w:r>
        <w:rPr>
          <w:rFonts w:hint="eastAsia" w:ascii="宋体" w:hAnsi="宋体" w:eastAsia="宋体" w:cs="宋体"/>
          <w:color w:val="auto"/>
          <w:szCs w:val="21"/>
          <w:lang w:val="en-US" w:eastAsia="zh-CN"/>
        </w:rPr>
        <w:t>供应商</w:t>
      </w:r>
      <w:r>
        <w:rPr>
          <w:rFonts w:hint="eastAsia" w:ascii="宋体" w:hAnsi="宋体" w:eastAsia="宋体"/>
          <w:color w:val="auto"/>
        </w:rPr>
        <w:t>近五年内无行贿犯罪记录；</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3、参与该项目的</w:t>
      </w:r>
      <w:r>
        <w:rPr>
          <w:rFonts w:hint="eastAsia" w:ascii="宋体" w:hAnsi="宋体" w:eastAsia="宋体" w:cs="宋体"/>
          <w:color w:val="auto"/>
          <w:szCs w:val="21"/>
          <w:lang w:val="en-US" w:eastAsia="zh-CN"/>
        </w:rPr>
        <w:t>供应商</w:t>
      </w:r>
      <w:r>
        <w:rPr>
          <w:rFonts w:hint="eastAsia" w:ascii="宋体" w:hAnsi="宋体" w:eastAsia="宋体"/>
          <w:color w:val="auto"/>
        </w:rPr>
        <w:t>近五年内，在经营活动中没有重大违法记录、以及不存在被有关部门禁止参与政府采购活动且在有限期内的情况；</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4、本项目不接受联合体采购，不允许转包、分包。</w:t>
      </w: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三、采购项目建设要求</w:t>
      </w:r>
    </w:p>
    <w:p>
      <w:pPr>
        <w:spacing w:line="360" w:lineRule="auto"/>
        <w:ind w:firstLine="422" w:firstLineChars="200"/>
        <w:rPr>
          <w:b/>
          <w:bCs/>
          <w:color w:val="auto"/>
        </w:rPr>
      </w:pPr>
      <w:r>
        <w:rPr>
          <w:rFonts w:hint="eastAsia"/>
          <w:b/>
          <w:bCs/>
          <w:color w:val="auto"/>
        </w:rPr>
        <w:t>（一）服务目标</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根据《医疗保障基金使用监督管理条例》和《广东省医疗保障局公安厅卫生健康委转发国家医保局公安部国家卫生健康委关于开展打击欺诈骗保专项整治行动的通知》（粤医保发〔2021〕25号）等文件要求，我院</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以下称：采购人</w:t>
      </w:r>
      <w:r>
        <w:rPr>
          <w:rFonts w:hint="eastAsia" w:ascii="宋体" w:hAnsi="宋体" w:eastAsia="宋体" w:cs="宋体"/>
          <w:color w:val="auto"/>
          <w:szCs w:val="21"/>
          <w:lang w:eastAsia="zh-CN"/>
        </w:rPr>
        <w:t>）</w:t>
      </w:r>
      <w:r>
        <w:rPr>
          <w:rFonts w:hint="eastAsia" w:ascii="宋体" w:hAnsi="宋体" w:eastAsia="宋体" w:cs="宋体"/>
          <w:color w:val="auto"/>
          <w:szCs w:val="21"/>
        </w:rPr>
        <w:t>拟委托第三方服务公司对我院2022年度的医保</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工伤</w:t>
      </w:r>
      <w:r>
        <w:rPr>
          <w:rFonts w:hint="eastAsia" w:ascii="宋体" w:hAnsi="宋体" w:eastAsia="宋体" w:cs="宋体"/>
          <w:color w:val="auto"/>
          <w:szCs w:val="21"/>
        </w:rPr>
        <w:t>费用使用等情况开展第三方评估分析，形成对应的情况分析报告。</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对涉及的临床诊断、药品、医用耗材、诊疗服务项目、财务、进销存数据等进行评估分析，对</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医院存在的医保管理风险点进行评估分析并出具自查自纠服务检查结果报告，检查结果报告将包括医疗费用情况、存在问题，涉及金额、整改措施和建议等方面。</w:t>
      </w:r>
    </w:p>
    <w:p>
      <w:pPr>
        <w:pStyle w:val="11"/>
        <w:spacing w:line="360" w:lineRule="auto"/>
        <w:ind w:firstLine="0" w:firstLineChars="0"/>
        <w:rPr>
          <w:b/>
          <w:bCs/>
          <w:color w:val="auto"/>
        </w:rPr>
      </w:pPr>
      <w:r>
        <w:rPr>
          <w:rFonts w:hint="eastAsia" w:ascii="宋体" w:hAnsi="宋体" w:eastAsia="宋体" w:cs="宋体"/>
          <w:color w:val="auto"/>
        </w:rPr>
        <w:t xml:space="preserve">   </w:t>
      </w:r>
      <w:r>
        <w:rPr>
          <w:rFonts w:hint="eastAsia"/>
          <w:b/>
          <w:bCs/>
          <w:color w:val="auto"/>
        </w:rPr>
        <w:t xml:space="preserve">  （二）服务内容（包括但不限于）</w:t>
      </w:r>
    </w:p>
    <w:p>
      <w:pPr>
        <w:pStyle w:val="11"/>
        <w:spacing w:line="360" w:lineRule="auto"/>
        <w:ind w:firstLine="210"/>
        <w:rPr>
          <w:color w:val="auto"/>
        </w:rPr>
      </w:pPr>
      <w:r>
        <w:rPr>
          <w:rFonts w:hint="eastAsia"/>
          <w:color w:val="auto"/>
        </w:rPr>
        <w:t xml:space="preserve">    1、</w:t>
      </w:r>
      <w:r>
        <w:rPr>
          <w:rFonts w:hint="eastAsia" w:ascii="宋体" w:hAnsi="宋体" w:eastAsia="宋体" w:cs="宋体"/>
          <w:color w:val="auto"/>
          <w:szCs w:val="21"/>
          <w:lang w:val="en-US" w:eastAsia="zh-CN"/>
        </w:rPr>
        <w:t>采购人</w:t>
      </w:r>
      <w:r>
        <w:rPr>
          <w:rFonts w:hint="eastAsia"/>
          <w:color w:val="auto"/>
        </w:rPr>
        <w:t>医院医疗服务行为和费用情况；</w:t>
      </w:r>
    </w:p>
    <w:p>
      <w:pPr>
        <w:pStyle w:val="11"/>
        <w:spacing w:line="360" w:lineRule="auto"/>
        <w:ind w:firstLine="630" w:firstLineChars="300"/>
        <w:rPr>
          <w:color w:val="auto"/>
        </w:rPr>
      </w:pPr>
      <w:r>
        <w:rPr>
          <w:rFonts w:hint="eastAsia"/>
          <w:color w:val="auto"/>
        </w:rPr>
        <w:t>2、</w:t>
      </w:r>
      <w:r>
        <w:rPr>
          <w:rFonts w:hint="eastAsia" w:ascii="宋体" w:hAnsi="宋体" w:eastAsia="宋体" w:cs="宋体"/>
          <w:color w:val="auto"/>
          <w:szCs w:val="21"/>
          <w:lang w:val="en-US" w:eastAsia="zh-CN"/>
        </w:rPr>
        <w:t>采购人</w:t>
      </w:r>
      <w:r>
        <w:rPr>
          <w:rFonts w:hint="eastAsia"/>
          <w:color w:val="auto"/>
        </w:rPr>
        <w:t>医院药品和医用耗材进销存情况；</w:t>
      </w:r>
    </w:p>
    <w:p>
      <w:pPr>
        <w:pStyle w:val="11"/>
        <w:spacing w:line="360" w:lineRule="auto"/>
        <w:ind w:firstLine="630" w:firstLineChars="300"/>
        <w:rPr>
          <w:color w:val="auto"/>
        </w:rPr>
      </w:pPr>
      <w:r>
        <w:rPr>
          <w:rFonts w:hint="eastAsia"/>
          <w:color w:val="auto"/>
        </w:rPr>
        <w:t>3、</w:t>
      </w:r>
      <w:r>
        <w:rPr>
          <w:rFonts w:hint="eastAsia" w:ascii="宋体" w:hAnsi="宋体" w:eastAsia="宋体" w:cs="宋体"/>
          <w:color w:val="auto"/>
          <w:szCs w:val="21"/>
          <w:lang w:val="en-US" w:eastAsia="zh-CN"/>
        </w:rPr>
        <w:t>采购人</w:t>
      </w:r>
      <w:r>
        <w:rPr>
          <w:rFonts w:hint="eastAsia"/>
          <w:color w:val="auto"/>
        </w:rPr>
        <w:t>医疗收费及诊疗规范情况；</w:t>
      </w:r>
    </w:p>
    <w:p>
      <w:pPr>
        <w:pStyle w:val="11"/>
        <w:spacing w:line="360" w:lineRule="auto"/>
        <w:ind w:firstLine="630" w:firstLineChars="300"/>
        <w:rPr>
          <w:color w:val="auto"/>
        </w:rPr>
      </w:pPr>
      <w:r>
        <w:rPr>
          <w:rFonts w:hint="eastAsia"/>
          <w:color w:val="auto"/>
        </w:rPr>
        <w:t>4、</w:t>
      </w:r>
      <w:r>
        <w:rPr>
          <w:rFonts w:hint="eastAsia" w:ascii="宋体" w:hAnsi="宋体" w:eastAsia="宋体" w:cs="宋体"/>
          <w:color w:val="auto"/>
          <w:szCs w:val="21"/>
          <w:lang w:val="en-US" w:eastAsia="zh-CN"/>
        </w:rPr>
        <w:t>采购人</w:t>
      </w:r>
      <w:r>
        <w:rPr>
          <w:rFonts w:hint="eastAsia"/>
          <w:color w:val="auto"/>
        </w:rPr>
        <w:t>中医</w:t>
      </w:r>
      <w:r>
        <w:rPr>
          <w:rFonts w:hint="eastAsia"/>
          <w:color w:val="auto"/>
          <w:lang w:eastAsia="zh-CN"/>
        </w:rPr>
        <w:t>、</w:t>
      </w:r>
      <w:r>
        <w:rPr>
          <w:rFonts w:hint="eastAsia"/>
          <w:color w:val="auto"/>
          <w:lang w:val="en-US" w:eastAsia="zh-CN"/>
        </w:rPr>
        <w:t>康复</w:t>
      </w:r>
      <w:r>
        <w:rPr>
          <w:rFonts w:hint="eastAsia"/>
          <w:color w:val="auto"/>
        </w:rPr>
        <w:t>理疗项目开展情况；</w:t>
      </w:r>
    </w:p>
    <w:p>
      <w:pPr>
        <w:spacing w:line="360" w:lineRule="auto"/>
        <w:ind w:firstLine="630" w:firstLineChars="300"/>
        <w:rPr>
          <w:color w:val="auto"/>
        </w:rPr>
      </w:pPr>
      <w:r>
        <w:rPr>
          <w:rFonts w:hint="eastAsia"/>
          <w:color w:val="auto"/>
        </w:rPr>
        <w:t>其中医疗异常行为包括但不限于以下内容：</w:t>
      </w:r>
    </w:p>
    <w:p>
      <w:pPr>
        <w:spacing w:line="360" w:lineRule="auto"/>
        <w:ind w:firstLine="630" w:firstLineChars="300"/>
        <w:rPr>
          <w:color w:val="auto"/>
        </w:rPr>
      </w:pPr>
      <w:r>
        <w:rPr>
          <w:rFonts w:hint="eastAsia"/>
          <w:color w:val="auto"/>
        </w:rPr>
        <w:t>（1）是否存在无指征住院、分解住院等情况；</w:t>
      </w:r>
    </w:p>
    <w:p>
      <w:pPr>
        <w:spacing w:line="360" w:lineRule="auto"/>
        <w:ind w:firstLine="630" w:firstLineChars="300"/>
        <w:rPr>
          <w:color w:val="auto"/>
        </w:rPr>
      </w:pPr>
      <w:r>
        <w:rPr>
          <w:rFonts w:hint="eastAsia"/>
          <w:color w:val="auto"/>
        </w:rPr>
        <w:t>（2）是否存在违反诊疗规范过度诊疗、过度检查或者提供其他不必要的医药服务等情况；</w:t>
      </w:r>
    </w:p>
    <w:p>
      <w:pPr>
        <w:spacing w:line="360" w:lineRule="auto"/>
        <w:ind w:firstLine="630" w:firstLineChars="300"/>
        <w:rPr>
          <w:color w:val="auto"/>
        </w:rPr>
      </w:pPr>
      <w:r>
        <w:rPr>
          <w:rFonts w:hint="eastAsia"/>
          <w:color w:val="auto"/>
        </w:rPr>
        <w:t>（3）是否存在超标准收费、重复收费、分解项目收费的情况；</w:t>
      </w:r>
    </w:p>
    <w:p>
      <w:pPr>
        <w:spacing w:line="360" w:lineRule="auto"/>
        <w:ind w:firstLine="630" w:firstLineChars="300"/>
        <w:rPr>
          <w:color w:val="auto"/>
        </w:rPr>
      </w:pPr>
      <w:r>
        <w:rPr>
          <w:rFonts w:hint="eastAsia"/>
          <w:color w:val="auto"/>
        </w:rPr>
        <w:t>（4）是否存在虚构医药服务项目收费的情况；</w:t>
      </w:r>
    </w:p>
    <w:p>
      <w:pPr>
        <w:spacing w:line="360" w:lineRule="auto"/>
        <w:ind w:firstLine="630" w:firstLineChars="300"/>
        <w:rPr>
          <w:color w:val="auto"/>
        </w:rPr>
      </w:pPr>
      <w:r>
        <w:rPr>
          <w:rFonts w:hint="eastAsia"/>
          <w:color w:val="auto"/>
        </w:rPr>
        <w:t>（5）是否存在药品、医用耗材出入库记录与购进的数量、规格、型号不符，实际低值高套、少用多记等情况；</w:t>
      </w:r>
    </w:p>
    <w:p>
      <w:pPr>
        <w:spacing w:line="360" w:lineRule="auto"/>
        <w:ind w:firstLine="630" w:firstLineChars="300"/>
        <w:rPr>
          <w:color w:val="auto"/>
        </w:rPr>
      </w:pPr>
      <w:r>
        <w:rPr>
          <w:rFonts w:hint="eastAsia"/>
          <w:color w:val="auto"/>
        </w:rPr>
        <w:t>（6）是否存在将不属于医疗保障基金支付范围的医药项目费用纳入医疗保障基金结算等情况；</w:t>
      </w:r>
    </w:p>
    <w:p>
      <w:pPr>
        <w:spacing w:line="360" w:lineRule="auto"/>
        <w:ind w:firstLine="630" w:firstLineChars="300"/>
        <w:rPr>
          <w:color w:val="auto"/>
        </w:rPr>
      </w:pPr>
      <w:r>
        <w:rPr>
          <w:rFonts w:hint="eastAsia"/>
          <w:color w:val="auto"/>
        </w:rPr>
        <w:t>（7）是否存在中医</w:t>
      </w:r>
      <w:r>
        <w:rPr>
          <w:rFonts w:hint="eastAsia"/>
          <w:color w:val="auto"/>
          <w:lang w:eastAsia="zh-CN"/>
        </w:rPr>
        <w:t>、</w:t>
      </w:r>
      <w:r>
        <w:rPr>
          <w:rFonts w:hint="eastAsia"/>
          <w:color w:val="auto"/>
          <w:lang w:val="en-US" w:eastAsia="zh-CN"/>
        </w:rPr>
        <w:t>康复</w:t>
      </w:r>
      <w:r>
        <w:rPr>
          <w:rFonts w:hint="eastAsia"/>
          <w:color w:val="auto"/>
        </w:rPr>
        <w:t>理疗项目实际操作违反诊疗规范等情况；</w:t>
      </w:r>
    </w:p>
    <w:p>
      <w:pPr>
        <w:spacing w:line="360" w:lineRule="auto"/>
        <w:ind w:firstLine="630" w:firstLineChars="300"/>
        <w:rPr>
          <w:color w:val="auto"/>
        </w:rPr>
      </w:pPr>
      <w:r>
        <w:rPr>
          <w:rFonts w:hint="eastAsia"/>
          <w:color w:val="auto"/>
        </w:rPr>
        <w:t>（8）数据条件允许情况下，检查是否存在自费率超出控制标准及住院费用增长超过平均增长率等情况；</w:t>
      </w:r>
    </w:p>
    <w:p>
      <w:pPr>
        <w:spacing w:line="360" w:lineRule="auto"/>
        <w:ind w:firstLine="630" w:firstLineChars="300"/>
        <w:rPr>
          <w:color w:val="auto"/>
        </w:rPr>
      </w:pPr>
      <w:r>
        <w:rPr>
          <w:rFonts w:hint="eastAsia"/>
          <w:color w:val="auto"/>
        </w:rPr>
        <w:t>（9）造成医疗保障基金损失的其他违法行为。</w:t>
      </w:r>
    </w:p>
    <w:p>
      <w:pPr>
        <w:pStyle w:val="2"/>
        <w:numPr>
          <w:ilvl w:val="0"/>
          <w:numId w:val="1"/>
        </w:numPr>
        <w:rPr>
          <w:color w:val="auto"/>
        </w:rPr>
      </w:pPr>
      <w:r>
        <w:rPr>
          <w:rFonts w:hint="eastAsia"/>
          <w:color w:val="auto"/>
        </w:rPr>
        <w:t>项目要求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组建服务检查团队，现场检查团队成员必须由具备省级或省级以上飞行检查经验的人员组成，成员人数要求5名或以上人员。</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检查团队要以医院2022年度医疗业务大数据为抓手，结合医保规则评估分析数据，现场核查病历、费用清单等，查找违规单据、可疑单据、虚假就医、不合理诊疗等问题；到院走访病人、医护人员，找出药品等管理不规范行为；到院查对医院账目流水，进销存记录等，找出问题有针对性地对医院的医药服务行为和医药费用进行现场检查；走访中医理疗开展科室，找出违反诊疗规范的情况；在现场检查中查找造成医疗保障基金损失的其他违法行为。</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检查团队对</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2022年度院内数据进行统计，对涉及的临床诊断、药品、医用耗材、诊疗项目、财务、进销存数据以及医院医保管理风险点等进行梳理、评估、统计、分析，并</w:t>
      </w:r>
      <w:r>
        <w:rPr>
          <w:rFonts w:hint="eastAsia" w:ascii="宋体" w:hAnsi="宋体" w:eastAsia="宋体" w:cs="宋体"/>
          <w:color w:val="auto"/>
          <w:szCs w:val="21"/>
          <w:lang w:val="en-US" w:eastAsia="zh-CN"/>
        </w:rPr>
        <w:t>于2023年2月1</w:t>
      </w:r>
      <w:r>
        <w:rPr>
          <w:rFonts w:hint="eastAsia" w:ascii="宋体" w:hAnsi="宋体" w:eastAsia="宋体" w:cs="宋体"/>
          <w:color w:val="auto"/>
          <w:szCs w:val="21"/>
          <w:lang w:val="en-US" w:eastAsia="zh-CN"/>
        </w:rPr>
        <w:t>8</w:t>
      </w:r>
      <w:r>
        <w:rPr>
          <w:rFonts w:hint="eastAsia" w:ascii="宋体" w:hAnsi="宋体" w:eastAsia="宋体" w:cs="宋体"/>
          <w:color w:val="auto"/>
          <w:szCs w:val="21"/>
          <w:lang w:val="en-US" w:eastAsia="zh-CN"/>
        </w:rPr>
        <w:t>日前</w:t>
      </w:r>
      <w:r>
        <w:rPr>
          <w:rFonts w:hint="eastAsia" w:ascii="宋体" w:hAnsi="宋体" w:eastAsia="宋体" w:cs="宋体"/>
          <w:color w:val="auto"/>
          <w:szCs w:val="21"/>
        </w:rPr>
        <w:t>形成最终2022年度医保管理自查自纠服务检查报告，报告中针对检查中发现的医疗费用情况、存在问题、涉及金额要出具明细报表，并提出整改措施、建议等方面的持续改进方案。</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4、检查完成</w:t>
      </w:r>
      <w:r>
        <w:rPr>
          <w:rFonts w:hint="eastAsia" w:ascii="宋体" w:hAnsi="宋体" w:eastAsia="宋体" w:cs="宋体"/>
          <w:b w:val="0"/>
          <w:bCs w:val="0"/>
          <w:color w:val="auto"/>
          <w:szCs w:val="21"/>
        </w:rPr>
        <w:t>后，由</w:t>
      </w:r>
      <w:r>
        <w:rPr>
          <w:rFonts w:hint="eastAsia" w:ascii="宋体" w:hAnsi="宋体" w:eastAsia="宋体" w:cs="宋体"/>
          <w:b w:val="0"/>
          <w:bCs w:val="0"/>
          <w:color w:val="auto"/>
          <w:szCs w:val="21"/>
          <w:lang w:val="en-US" w:eastAsia="zh-CN"/>
        </w:rPr>
        <w:t>采购人</w:t>
      </w:r>
      <w:r>
        <w:rPr>
          <w:rFonts w:hint="eastAsia" w:ascii="宋体" w:hAnsi="宋体" w:eastAsia="宋体" w:cs="宋体"/>
          <w:b w:val="0"/>
          <w:bCs w:val="0"/>
          <w:color w:val="auto"/>
          <w:szCs w:val="21"/>
        </w:rPr>
        <w:t>组织相关临床科室、三目管理科室、医保科、财务科、收费等参与的检查反馈会议，由检查团队成员详细通报检查中发现的违规问题、整改措施，并热情、耐心做好现场科室人员的答疑。</w:t>
      </w:r>
    </w:p>
    <w:p>
      <w:pPr>
        <w:tabs>
          <w:tab w:val="left" w:pos="360"/>
          <w:tab w:val="left" w:pos="900"/>
        </w:tabs>
        <w:spacing w:line="360" w:lineRule="auto"/>
        <w:ind w:firstLine="422" w:firstLineChars="200"/>
        <w:rPr>
          <w:rFonts w:ascii="宋体" w:hAnsi="宋体" w:eastAsia="宋体" w:cs="宋体"/>
          <w:b/>
          <w:bCs/>
          <w:color w:val="auto"/>
          <w:szCs w:val="21"/>
        </w:rPr>
      </w:pPr>
      <w:r>
        <w:rPr>
          <w:rFonts w:hint="eastAsia"/>
          <w:b/>
          <w:bCs/>
          <w:color w:val="auto"/>
          <w:lang w:val="en-US" w:eastAsia="zh-CN"/>
        </w:rPr>
        <w:t>四</w:t>
      </w:r>
      <w:r>
        <w:rPr>
          <w:rFonts w:hint="eastAsia"/>
          <w:b/>
          <w:bCs/>
          <w:color w:val="auto"/>
        </w:rPr>
        <w:t>、</w:t>
      </w:r>
      <w:r>
        <w:rPr>
          <w:rFonts w:hint="eastAsia" w:ascii="宋体" w:hAnsi="宋体" w:eastAsia="宋体" w:cs="宋体"/>
          <w:b/>
          <w:bCs/>
          <w:color w:val="auto"/>
          <w:szCs w:val="21"/>
        </w:rPr>
        <w:t>报价要求：</w:t>
      </w:r>
    </w:p>
    <w:p>
      <w:pPr>
        <w:tabs>
          <w:tab w:val="left" w:pos="360"/>
          <w:tab w:val="left" w:pos="90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报价须是完成该项目的一切费用总和，包括但不仅限于所需设备、软件、人力资源、餐饮、培训、人力成本以及国家规定的各项税费等。 </w:t>
      </w:r>
    </w:p>
    <w:p>
      <w:pPr>
        <w:pStyle w:val="2"/>
        <w:numPr>
          <w:ilvl w:val="0"/>
          <w:numId w:val="2"/>
        </w:numP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付款方式</w:t>
      </w:r>
    </w:p>
    <w:p>
      <w:pPr>
        <w:pStyle w:val="2"/>
        <w:numPr>
          <w:ilvl w:val="0"/>
          <w:numId w:val="0"/>
        </w:numPr>
        <w:spacing w:line="360" w:lineRule="auto"/>
        <w:ind w:firstLine="420" w:firstLineChars="20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成交供应商于2023年2月18日前提交《自查自纠服务检查结果报告》后，向甲方提出验收申请，《自查自纠服务检查结果报告》验收合格后，成交供应商提供合同全额的增值税普通发票，甲方确认发票无误后30天内支付该笔款项。</w:t>
      </w:r>
    </w:p>
    <w:p>
      <w:pPr>
        <w:pStyle w:val="2"/>
        <w:numPr>
          <w:ilvl w:val="0"/>
          <w:numId w:val="0"/>
        </w:numPr>
        <w:rPr>
          <w:rFonts w:hint="default" w:ascii="宋体" w:hAnsi="宋体" w:eastAsia="宋体" w:cs="宋体"/>
          <w:color w:val="auto"/>
          <w:szCs w:val="21"/>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ngLiU">
    <w:panose1 w:val="02020309000000000000"/>
    <w:charset w:val="88"/>
    <w:family w:val="moder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lang w:val="en-US" w:eastAsia="zh-CN"/>
      </w:rPr>
      <w:t>参数制定人：                                          参数审核人：</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D0504"/>
    <w:multiLevelType w:val="singleLevel"/>
    <w:tmpl w:val="BE5D0504"/>
    <w:lvl w:ilvl="0" w:tentative="0">
      <w:start w:val="5"/>
      <w:numFmt w:val="chineseCounting"/>
      <w:suff w:val="nothing"/>
      <w:lvlText w:val="%1、"/>
      <w:lvlJc w:val="left"/>
      <w:rPr>
        <w:rFonts w:hint="eastAsia"/>
      </w:rPr>
    </w:lvl>
  </w:abstractNum>
  <w:abstractNum w:abstractNumId="1">
    <w:nsid w:val="575ADD9B"/>
    <w:multiLevelType w:val="singleLevel"/>
    <w:tmpl w:val="575ADD9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ZGQ5ZDc1NTAyOWIyMzYxYmFmMDgxMmY5NjgyMzcifQ=="/>
  </w:docVars>
  <w:rsids>
    <w:rsidRoot w:val="00000000"/>
    <w:rsid w:val="283422A3"/>
    <w:rsid w:val="28C27B31"/>
    <w:rsid w:val="2CBD10EE"/>
    <w:rsid w:val="4B9D5E3E"/>
    <w:rsid w:val="4DF12A69"/>
    <w:rsid w:val="5FD53F75"/>
    <w:rsid w:val="786F3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3">
    <w:name w:val="Normal Indent"/>
    <w:basedOn w:val="1"/>
    <w:qFormat/>
    <w:uiPriority w:val="0"/>
    <w:pPr>
      <w:ind w:left="720"/>
    </w:pPr>
  </w:style>
  <w:style w:type="paragraph" w:styleId="4">
    <w:name w:val="annotation text"/>
    <w:basedOn w:val="1"/>
    <w:link w:val="21"/>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2"/>
    <w:qFormat/>
    <w:uiPriority w:val="0"/>
    <w:rPr>
      <w:b/>
      <w:bCs/>
    </w:rPr>
  </w:style>
  <w:style w:type="paragraph" w:styleId="11">
    <w:name w:val="Body Text First Indent"/>
    <w:basedOn w:val="5"/>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列出段落1"/>
    <w:basedOn w:val="1"/>
    <w:qFormat/>
    <w:uiPriority w:val="0"/>
    <w:pPr>
      <w:ind w:firstLine="420" w:firstLineChars="200"/>
    </w:pPr>
    <w:rPr>
      <w:rFonts w:ascii="Calibri" w:hAnsi="Calibri"/>
      <w:szCs w:val="22"/>
    </w:rPr>
  </w:style>
  <w:style w:type="paragraph" w:customStyle="1" w:styleId="17">
    <w:name w:val="Bullet"/>
    <w:basedOn w:val="1"/>
    <w:qFormat/>
    <w:uiPriority w:val="0"/>
    <w:pPr>
      <w:tabs>
        <w:tab w:val="left" w:pos="360"/>
        <w:tab w:val="left" w:pos="420"/>
      </w:tabs>
      <w:spacing w:line="360" w:lineRule="exact"/>
    </w:pPr>
    <w:rPr>
      <w:sz w:val="24"/>
    </w:rPr>
  </w:style>
  <w:style w:type="paragraph" w:customStyle="1" w:styleId="18">
    <w:name w:val="Other|1"/>
    <w:basedOn w:val="1"/>
    <w:qFormat/>
    <w:uiPriority w:val="0"/>
    <w:pPr>
      <w:spacing w:line="245" w:lineRule="exact"/>
    </w:pPr>
    <w:rPr>
      <w:rFonts w:ascii="MingLiU" w:hAnsi="MingLiU" w:eastAsia="MingLiU" w:cs="MingLiU"/>
      <w:color w:val="000000"/>
      <w:sz w:val="17"/>
      <w:szCs w:val="17"/>
      <w:lang w:val="zh-TW" w:eastAsia="zh-TW" w:bidi="zh-TW"/>
    </w:rPr>
  </w:style>
  <w:style w:type="paragraph" w:customStyle="1" w:styleId="19">
    <w:name w:val="正文缩进2格"/>
    <w:basedOn w:val="1"/>
    <w:qFormat/>
    <w:uiPriority w:val="0"/>
    <w:pPr>
      <w:spacing w:line="600" w:lineRule="exact"/>
      <w:ind w:firstLine="639" w:firstLineChars="206"/>
    </w:pPr>
    <w:rPr>
      <w:rFonts w:hint="eastAsia" w:ascii="仿宋_GB2312" w:hAnsi="宋体" w:eastAsia="仿宋_GB2312" w:cs="Times New Roman"/>
      <w:sz w:val="31"/>
      <w:szCs w:val="22"/>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1">
    <w:name w:val="批注文字 Char"/>
    <w:basedOn w:val="14"/>
    <w:link w:val="4"/>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0"/>
    <w:qFormat/>
    <w:uiPriority w:val="0"/>
    <w:rPr>
      <w:rFonts w:asciiTheme="minorHAnsi" w:hAnsiTheme="minorHAnsi" w:eastAsiaTheme="minorEastAsia" w:cstheme="minorBidi"/>
      <w:b/>
      <w:bCs/>
      <w:kern w:val="2"/>
      <w:sz w:val="21"/>
      <w:szCs w:val="24"/>
    </w:rPr>
  </w:style>
  <w:style w:type="character" w:customStyle="1" w:styleId="23">
    <w:name w:val="批注框文本 Char"/>
    <w:basedOn w:val="14"/>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1590</Words>
  <Characters>1615</Characters>
  <Lines>27</Lines>
  <Paragraphs>7</Paragraphs>
  <TotalTime>4</TotalTime>
  <ScaleCrop>false</ScaleCrop>
  <LinksUpToDate>false</LinksUpToDate>
  <CharactersWithSpaces>1625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2020-11-07T04:39:00Z</dcterms:created>
  <dc:creator>zstzgx</dc:creator>
  <cp:lastModifiedBy>Administrator</cp:lastModifiedBy>
  <cp:lastPrinted>2023-02-07T02:10:59Z</cp:lastPrinted>
  <dcterms:modified xsi:type="dcterms:W3CDTF">2023-02-07T02:11:07Z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6B051C04811A44818C9DDCE8C117AEBD</vt:lpwstr>
  </property>
</Properties>
</file>