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3962" w:leftChars="1026" w:hanging="1807" w:hangingChars="5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eastAsia="宋体" w:cs="宋体"/>
          <w:b/>
          <w:bCs/>
          <w:color w:val="auto"/>
          <w:sz w:val="36"/>
          <w:szCs w:val="36"/>
          <w:highlight w:val="none"/>
          <w:lang w:val="en-US" w:eastAsia="zh-CN"/>
        </w:rPr>
        <w:t>擦手纸、卷纸</w:t>
      </w:r>
    </w:p>
    <w:p>
      <w:pPr>
        <w:keepNext w:val="0"/>
        <w:keepLines w:val="0"/>
        <w:pageBreakBefore w:val="0"/>
        <w:widowControl w:val="0"/>
        <w:kinsoku/>
        <w:wordWrap/>
        <w:overflowPunct/>
        <w:topLinePunct w:val="0"/>
        <w:autoSpaceDE/>
        <w:autoSpaceDN/>
        <w:bidi w:val="0"/>
        <w:adjustRightInd/>
        <w:snapToGrid/>
        <w:spacing w:line="360" w:lineRule="auto"/>
        <w:ind w:left="3950" w:leftChars="1881" w:firstLine="0" w:firstLineChars="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lang w:val="en-US" w:eastAsia="zh-CN"/>
        </w:rPr>
        <w:t>供货</w:t>
      </w:r>
      <w:r>
        <w:rPr>
          <w:rFonts w:hint="eastAsia" w:ascii="宋体" w:hAnsi="宋体" w:eastAsia="宋体" w:cs="宋体"/>
          <w:b/>
          <w:bCs/>
          <w:color w:val="auto"/>
          <w:sz w:val="36"/>
          <w:szCs w:val="36"/>
          <w:highlight w:val="none"/>
        </w:rPr>
        <w:t>资格采购项目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w:t>
      </w:r>
      <w:r>
        <w:rPr>
          <w:rFonts w:hint="eastAsia" w:ascii="宋体" w:hAnsi="宋体" w:cs="宋体"/>
          <w:b/>
          <w:color w:val="auto"/>
          <w:sz w:val="36"/>
          <w:szCs w:val="36"/>
          <w:highlight w:val="none"/>
          <w:lang w:val="en-US" w:eastAsia="zh-CN"/>
        </w:rPr>
        <w:t>XLYY20230250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02</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总预算金额（元）：¥225,000.00元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225,000.00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2023年2月8日16:00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请各供应商按照以下要求提供完整的响应文件（一式六份，一正五副），供采购人进行预审核：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2月1日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bookmarkStart w:id="6" w:name="_GoBack"/>
      <w:bookmarkEnd w:id="6"/>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23"/>
        <w:tabs>
          <w:tab w:val="left" w:pos="840"/>
        </w:tabs>
        <w:jc w:val="center"/>
        <w:rPr>
          <w:rFonts w:hint="eastAsia" w:ascii="宋体" w:hAnsi="宋体" w:eastAsia="宋体" w:cs="宋体"/>
          <w:sz w:val="32"/>
          <w:szCs w:val="21"/>
        </w:rPr>
      </w:pPr>
      <w:r>
        <w:rPr>
          <w:rFonts w:hint="eastAsia" w:ascii="宋体" w:hAnsi="宋体" w:eastAsia="宋体" w:cs="宋体"/>
          <w:sz w:val="32"/>
          <w:szCs w:val="21"/>
        </w:rPr>
        <w:t>用户需求书</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总则</w:t>
      </w:r>
    </w:p>
    <w:p>
      <w:pPr>
        <w:widowControl w:val="0"/>
        <w:numPr>
          <w:ilvl w:val="0"/>
          <w:numId w:val="7"/>
        </w:numPr>
        <w:spacing w:line="360" w:lineRule="auto"/>
        <w:jc w:val="both"/>
        <w:rPr>
          <w:rFonts w:hint="eastAsia" w:ascii="宋体" w:hAnsi="宋体" w:cs="宋体"/>
          <w:b w:val="0"/>
          <w:bCs/>
          <w:szCs w:val="21"/>
        </w:rPr>
      </w:pPr>
      <w:r>
        <w:rPr>
          <w:rFonts w:hint="eastAsia" w:ascii="宋体" w:hAnsi="宋体" w:cs="宋体"/>
          <w:b w:val="0"/>
          <w:bCs/>
          <w:szCs w:val="21"/>
        </w:rPr>
        <w:t>项目名称</w:t>
      </w:r>
      <w:r>
        <w:rPr>
          <w:rFonts w:ascii="宋体" w:hAnsi="宋体" w:cs="宋体"/>
          <w:b w:val="0"/>
          <w:bCs/>
          <w:szCs w:val="21"/>
        </w:rPr>
        <w:t>：</w:t>
      </w:r>
      <w:r>
        <w:rPr>
          <w:rFonts w:hint="eastAsia" w:ascii="宋体" w:hAnsi="宋体" w:cs="宋体"/>
          <w:b w:val="0"/>
          <w:bCs/>
          <w:szCs w:val="21"/>
        </w:rPr>
        <w:t>中山市小榄人民医院</w:t>
      </w: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供货期限：1 年</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项目预算金额：</w:t>
      </w:r>
      <w:r>
        <w:rPr>
          <w:rFonts w:hint="eastAsia" w:ascii="宋体" w:hAnsi="宋体"/>
          <w:b w:val="0"/>
          <w:bCs/>
          <w:szCs w:val="21"/>
          <w:lang w:val="en-US" w:eastAsia="zh-CN"/>
        </w:rPr>
        <w:t>¥225</w:t>
      </w:r>
      <w:r>
        <w:rPr>
          <w:rFonts w:hint="eastAsia" w:ascii="宋体" w:hAnsi="宋体"/>
          <w:b w:val="0"/>
          <w:bCs/>
          <w:szCs w:val="21"/>
        </w:rPr>
        <w:t>,000.00元</w:t>
      </w:r>
    </w:p>
    <w:p>
      <w:pPr>
        <w:widowControl w:val="0"/>
        <w:numPr>
          <w:ilvl w:val="0"/>
          <w:numId w:val="7"/>
        </w:numPr>
        <w:spacing w:line="360" w:lineRule="auto"/>
        <w:jc w:val="both"/>
        <w:rPr>
          <w:rFonts w:hint="eastAsia" w:ascii="宋体" w:hAnsi="宋体" w:cs="宋体"/>
          <w:szCs w:val="21"/>
        </w:rPr>
      </w:pPr>
      <w:r>
        <w:rPr>
          <w:rFonts w:hint="eastAsia"/>
          <w:szCs w:val="21"/>
        </w:rPr>
        <w:t>本项目由成交供应商承包及负责磋商文件对成交供应商要求的一切事宜及责任。</w:t>
      </w:r>
    </w:p>
    <w:p>
      <w:pPr>
        <w:widowControl w:val="0"/>
        <w:numPr>
          <w:ilvl w:val="0"/>
          <w:numId w:val="7"/>
        </w:numPr>
        <w:spacing w:line="360" w:lineRule="auto"/>
        <w:jc w:val="both"/>
        <w:rPr>
          <w:rFonts w:hint="eastAsia" w:ascii="宋体" w:hAnsi="宋体" w:cs="宋体"/>
          <w:szCs w:val="21"/>
        </w:rPr>
      </w:pPr>
      <w:r>
        <w:rPr>
          <w:szCs w:val="21"/>
        </w:rPr>
        <w:t>本项目不接受联合体</w:t>
      </w:r>
      <w:r>
        <w:rPr>
          <w:rFonts w:hint="eastAsia"/>
          <w:szCs w:val="21"/>
        </w:rPr>
        <w:t>报价。</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项目基本要求</w:t>
      </w:r>
    </w:p>
    <w:p>
      <w:pPr>
        <w:widowControl w:val="0"/>
        <w:spacing w:line="360" w:lineRule="auto"/>
        <w:jc w:val="both"/>
        <w:rPr>
          <w:szCs w:val="21"/>
        </w:rPr>
      </w:pPr>
      <w:r>
        <w:rPr>
          <w:rFonts w:hint="eastAsia"/>
          <w:szCs w:val="21"/>
        </w:rPr>
        <w:t>1.  交货地点：中山市小榄人民医院日用品仓库。</w:t>
      </w:r>
    </w:p>
    <w:p>
      <w:pPr>
        <w:widowControl w:val="0"/>
        <w:spacing w:line="360" w:lineRule="auto"/>
        <w:jc w:val="both"/>
        <w:rPr>
          <w:rFonts w:ascii="宋体" w:hAnsi="宋体" w:cs="宋体"/>
          <w:b w:val="0"/>
          <w:bCs/>
          <w:szCs w:val="21"/>
        </w:rPr>
      </w:pPr>
      <w:r>
        <w:rPr>
          <w:rFonts w:hint="eastAsia" w:ascii="宋体" w:hAnsi="宋体" w:cs="宋体"/>
          <w:b w:val="0"/>
          <w:bCs/>
          <w:szCs w:val="21"/>
        </w:rPr>
        <w:t>2. ★交货时间：成交供应商应保证充足的货源，保证供货，在收到采购人下单通知后</w:t>
      </w:r>
      <w:r>
        <w:rPr>
          <w:rFonts w:hint="eastAsia" w:ascii="宋体" w:hAnsi="宋体" w:cs="宋体"/>
          <w:b w:val="0"/>
          <w:bCs/>
          <w:szCs w:val="21"/>
          <w:u w:val="single"/>
        </w:rPr>
        <w:t>3</w:t>
      </w:r>
      <w:r>
        <w:rPr>
          <w:rFonts w:hint="eastAsia" w:ascii="宋体" w:hAnsi="宋体" w:cs="宋体"/>
          <w:b w:val="0"/>
          <w:bCs/>
          <w:szCs w:val="21"/>
        </w:rPr>
        <w:t>日内把指定货物交付到中山市小榄人民医院日用品仓库。如收到采购人紧急下单情况的，应在</w:t>
      </w:r>
      <w:r>
        <w:rPr>
          <w:rFonts w:hint="eastAsia" w:ascii="宋体" w:hAnsi="宋体" w:cs="宋体"/>
          <w:b w:val="0"/>
          <w:bCs/>
          <w:szCs w:val="21"/>
          <w:u w:val="single"/>
        </w:rPr>
        <w:t>3</w:t>
      </w:r>
      <w:r>
        <w:rPr>
          <w:rFonts w:hint="eastAsia" w:ascii="宋体" w:hAnsi="宋体" w:cs="宋体"/>
          <w:b w:val="0"/>
          <w:bCs/>
          <w:szCs w:val="21"/>
        </w:rPr>
        <w:t>小时内到货。</w:t>
      </w:r>
    </w:p>
    <w:p>
      <w:pPr>
        <w:widowControl w:val="0"/>
        <w:spacing w:line="360" w:lineRule="auto"/>
        <w:jc w:val="both"/>
        <w:rPr>
          <w:rFonts w:ascii="宋体" w:hAnsi="宋体" w:cs="宋体"/>
          <w:b w:val="0"/>
          <w:bCs/>
          <w:szCs w:val="21"/>
        </w:rPr>
      </w:pPr>
      <w:r>
        <w:rPr>
          <w:rFonts w:hint="eastAsia" w:ascii="宋体" w:hAnsi="宋体" w:cs="宋体"/>
          <w:b w:val="0"/>
          <w:bCs/>
          <w:szCs w:val="21"/>
        </w:rPr>
        <w:t>3. ★供货期限：本项目提供货物总额累计达到预算金额</w:t>
      </w:r>
      <w:r>
        <w:rPr>
          <w:rFonts w:hint="eastAsia" w:ascii="宋体" w:hAnsi="宋体"/>
          <w:b w:val="0"/>
          <w:bCs/>
          <w:szCs w:val="21"/>
          <w:u w:val="single"/>
          <w:lang w:val="en-US" w:eastAsia="zh-CN"/>
        </w:rPr>
        <w:t>¥225</w:t>
      </w:r>
      <w:r>
        <w:rPr>
          <w:rFonts w:hint="eastAsia" w:ascii="宋体" w:hAnsi="宋体"/>
          <w:b w:val="0"/>
          <w:bCs/>
          <w:szCs w:val="21"/>
          <w:u w:val="single"/>
        </w:rPr>
        <w:t>,000.00</w:t>
      </w:r>
      <w:r>
        <w:rPr>
          <w:rFonts w:hint="eastAsia" w:ascii="宋体" w:hAnsi="宋体" w:cs="宋体"/>
          <w:b w:val="0"/>
          <w:bCs/>
          <w:szCs w:val="21"/>
        </w:rPr>
        <w:t>或项目供货期满，则合同自动终止。成交供应商在实施项目过程中如有违法违规行为的，采购人有权取消其供货资格，造成的损失由成交供应商承担。</w:t>
      </w:r>
    </w:p>
    <w:p>
      <w:pPr>
        <w:widowControl w:val="0"/>
        <w:spacing w:line="360" w:lineRule="auto"/>
        <w:jc w:val="both"/>
        <w:rPr>
          <w:rFonts w:ascii="宋体" w:hAnsi="宋体" w:cs="宋体"/>
          <w:szCs w:val="21"/>
        </w:rPr>
      </w:pPr>
      <w:r>
        <w:rPr>
          <w:rFonts w:hint="eastAsia" w:ascii="宋体" w:hAnsi="宋体" w:cs="宋体"/>
          <w:szCs w:val="21"/>
        </w:rPr>
        <w:t>4. 成交供应商不得以任何方式转包或分包本项目，否则视为毁约。</w:t>
      </w:r>
    </w:p>
    <w:p>
      <w:pPr>
        <w:widowControl w:val="0"/>
        <w:spacing w:line="360" w:lineRule="auto"/>
        <w:jc w:val="both"/>
        <w:rPr>
          <w:rFonts w:ascii="宋体" w:hAnsi="宋体" w:cs="宋体"/>
          <w:szCs w:val="21"/>
        </w:rPr>
      </w:pPr>
      <w:r>
        <w:rPr>
          <w:rFonts w:hint="eastAsia" w:ascii="宋体" w:hAnsi="宋体" w:cs="宋体"/>
          <w:szCs w:val="21"/>
        </w:rPr>
        <w:t>5. 供应商须对本项目全部内容进行整体响应，任何只对其中一部分内容进行响应的都将视为无效响应。</w:t>
      </w:r>
    </w:p>
    <w:p>
      <w:pPr>
        <w:widowControl w:val="0"/>
        <w:spacing w:line="360" w:lineRule="auto"/>
        <w:jc w:val="both"/>
        <w:rPr>
          <w:rFonts w:ascii="宋体" w:hAnsi="宋体" w:cs="宋体"/>
          <w:szCs w:val="21"/>
        </w:rPr>
      </w:pPr>
      <w:r>
        <w:rPr>
          <w:rFonts w:hint="eastAsia" w:ascii="宋体" w:hAnsi="宋体" w:cs="宋体"/>
          <w:szCs w:val="21"/>
        </w:rPr>
        <w:t>6. 在供货期内，如个别产品遇到停产情况的，成交供应商需提前15天书面告知采购人并经采购人同意后，提供等同于或优于原参数的产品供采购人使用，不得断供。</w:t>
      </w:r>
    </w:p>
    <w:p>
      <w:pPr>
        <w:widowControl w:val="0"/>
        <w:spacing w:line="360" w:lineRule="auto"/>
        <w:jc w:val="both"/>
        <w:rPr>
          <w:rFonts w:ascii="宋体" w:hAnsi="宋体" w:cs="宋体"/>
          <w:szCs w:val="21"/>
        </w:rPr>
      </w:pPr>
      <w:r>
        <w:rPr>
          <w:rFonts w:hint="eastAsia" w:ascii="宋体" w:hAnsi="宋体" w:cs="宋体"/>
          <w:szCs w:val="21"/>
        </w:rPr>
        <w:t>7. 本次采购只进行供应商供货资格的招标，本次招标为协议供货资格的取得，并不代表货物已售出，采购人无法预计也无法保证向成交供应商采购的数量。采购人按照本单位使用情况下单所需货物数量，成交供应商不得对采购人所采购货物数量作要求或质疑，结算时以实际发生量为准。本项目以供货期满或项目预算使用完毕为结束时间点。</w:t>
      </w:r>
    </w:p>
    <w:p>
      <w:pPr>
        <w:widowControl w:val="0"/>
        <w:spacing w:line="360" w:lineRule="auto"/>
        <w:jc w:val="both"/>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新冠肺炎疫情期间，成交供应商送货时应按国家防疫要求及采购人相关要求配合做好防疫工作。</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项目采购清单</w:t>
      </w:r>
    </w:p>
    <w:tbl>
      <w:tblPr>
        <w:tblStyle w:val="14"/>
        <w:tblW w:w="9291" w:type="dxa"/>
        <w:jc w:val="center"/>
        <w:tblLayout w:type="fixed"/>
        <w:tblCellMar>
          <w:top w:w="0" w:type="dxa"/>
          <w:left w:w="108" w:type="dxa"/>
          <w:bottom w:w="0" w:type="dxa"/>
          <w:right w:w="108" w:type="dxa"/>
        </w:tblCellMar>
      </w:tblPr>
      <w:tblGrid>
        <w:gridCol w:w="645"/>
        <w:gridCol w:w="941"/>
        <w:gridCol w:w="6352"/>
        <w:gridCol w:w="450"/>
        <w:gridCol w:w="903"/>
      </w:tblGrid>
      <w:tr>
        <w:tblPrEx>
          <w:tblCellMar>
            <w:top w:w="0" w:type="dxa"/>
            <w:left w:w="108" w:type="dxa"/>
            <w:bottom w:w="0" w:type="dxa"/>
            <w:right w:w="108" w:type="dxa"/>
          </w:tblCellMar>
        </w:tblPrEx>
        <w:trPr>
          <w:trHeight w:val="735" w:hRule="atLeast"/>
          <w:jc w:val="center"/>
        </w:trPr>
        <w:tc>
          <w:tcPr>
            <w:tcW w:w="645" w:type="dxa"/>
            <w:tcBorders>
              <w:top w:val="single" w:color="000000" w:sz="8" w:space="0"/>
              <w:left w:val="single" w:color="000000" w:sz="8" w:space="0"/>
              <w:bottom w:val="single" w:color="000000" w:sz="8" w:space="0"/>
              <w:right w:val="nil"/>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序号</w:t>
            </w:r>
          </w:p>
        </w:tc>
        <w:tc>
          <w:tcPr>
            <w:tcW w:w="941" w:type="dxa"/>
            <w:tcBorders>
              <w:top w:val="single" w:color="000000" w:sz="8" w:space="0"/>
              <w:left w:val="single" w:color="000000" w:sz="8"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采购物品</w:t>
            </w:r>
          </w:p>
        </w:tc>
        <w:tc>
          <w:tcPr>
            <w:tcW w:w="6352" w:type="dxa"/>
            <w:tcBorders>
              <w:top w:val="single" w:color="000000" w:sz="8"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val="en-US" w:eastAsia="zh-CN" w:bidi="ar"/>
              </w:rPr>
              <w:t>规格</w:t>
            </w:r>
            <w:r>
              <w:rPr>
                <w:rFonts w:hint="eastAsia" w:ascii="宋体" w:hAnsi="宋体" w:cs="宋体"/>
                <w:b/>
                <w:bCs/>
                <w:sz w:val="18"/>
                <w:szCs w:val="18"/>
                <w:lang w:bidi="ar"/>
              </w:rPr>
              <w:t>及参数要求</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单位</w:t>
            </w:r>
          </w:p>
        </w:tc>
        <w:tc>
          <w:tcPr>
            <w:tcW w:w="903"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bidi="ar"/>
              </w:rPr>
              <w:t>最高单价限价（元）</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nil"/>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擦手纸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★（1）规格：每包≥200抽，22.5cm×23cm （长偏差±5㎜；宽偏差±5㎜；偏斜度≤3㎜）。</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（3）外观：白色、皱纹细腻、均匀，直面洁净、无印花及图案，不应有明显的死皱、残缺、破损、沙子、硬质块、生浆、杂质等纸病，不应有掉粉、掉毛及湿水后粘手、掉色等现象。</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★（4）定量：≥43g/㎡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（5）亮度（白度）：≤88.0%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（6）横向抗张指数：≥5.0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（7）纵向湿抗张指数：≥3.0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（8）单层横向吸液高度（成品层）：≥15 mm/100s</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（9）洞眼：总数≤10个/㎡；（2～5）mm≤10个/㎡；（＞5mm，≤8mm）≤1个/㎡；（＞8mm）不应有。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（10）尘埃度：总数≤100个/㎡；（0.2～1.0）ｍ㎡≤100个/㎡；（＞1.0ｍ㎡，≤2.0ｍ㎡）≤2个/㎡；（＞2.0ｍ㎡）不应有。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（11）交货水分：≤10.0%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（12）内装量偏差：≥-2.0%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（13）产品销售包装标志：产品名称、商标、标准编号、生产日期和保质期或生产批号和限用日期、合格标志、生产企业（或产品责任单位）名称、详细地址等符合标准要求。</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（14）不得检测出大肠菌落、金黄色葡萄球菌及溶血性链球菌。</w:t>
            </w:r>
          </w:p>
          <w:p>
            <w:pPr>
              <w:widowControl/>
              <w:spacing w:line="360" w:lineRule="auto"/>
              <w:ind w:firstLine="210" w:firstLineChars="100"/>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4.1</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single" w:color="000000" w:sz="4" w:space="0"/>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卷纸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★（1）规格型号：101mm×115mm/节（尺寸偏差：长偏差±5㎜；宽偏差±5㎜；偏斜度≤3㎜）；三层；10卷/条；≥120g/卷。</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（3）外观：白色、皱纹细腻、均匀，直面洁净、无印花及图案，不应有明显的死皱、残缺、破损、沙子、硬质块、生浆、杂质等纸病，不应有掉粉、掉毛等现象。</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★（4）定量：16.0±1.0g/㎡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（5）亮度：≤90.0%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（6）横向吸液高度（成品层）：≥40 mm/100s</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（7）抗张指数（纵横平均）：≥3.5 N·m/g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（8）柔软度（3层成品层纵横平均）：≤220 mN</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（9）洞眼：总数≤6/㎡；（2～5）mm≤6/㎡；（＞5mm，≤8mm）≤2/㎡；（＞8mm）不应有。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（10）尘埃度：总数≤20个/㎡；（0.2～1.0）ｍ㎡≤20个/㎡；（＞1.0ｍ㎡，≤2.0ｍ㎡）≤4个/㎡；（＞2.0ｍ㎡）不应有。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（11）交货水分：≤9.0%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 灰分：≤1.0%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（13）不得检测出大肠菌落、金黄色葡萄球菌及溶血性链球菌等致病性球菌。</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（14）产品销售包装标志：产品名称、商标、标准编号、生产日期和保质期或生产批号和限用日期、合格标志、生产企业（或产品责任单位）名称、详细地址等符合标准要求。</w:t>
            </w:r>
          </w:p>
          <w:p>
            <w:pPr>
              <w:widowControl/>
              <w:spacing w:line="360" w:lineRule="auto"/>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color w:val="auto"/>
                <w:sz w:val="18"/>
                <w:szCs w:val="18"/>
                <w:lang w:val="en-US" w:eastAsia="zh-CN" w:bidi="ar"/>
              </w:rPr>
            </w:pPr>
            <w:r>
              <w:rPr>
                <w:rFonts w:hint="eastAsia" w:ascii="宋体" w:hAnsi="宋体" w:cs="宋体"/>
                <w:color w:val="auto"/>
                <w:sz w:val="18"/>
                <w:szCs w:val="18"/>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11.35</w:t>
            </w:r>
          </w:p>
        </w:tc>
      </w:tr>
    </w:tbl>
    <w:p>
      <w:pPr>
        <w:spacing w:line="360" w:lineRule="auto"/>
        <w:rPr>
          <w:rFonts w:ascii="宋体" w:hAnsi="宋体" w:cs="宋体"/>
          <w:b/>
          <w:szCs w:val="21"/>
        </w:rPr>
      </w:pPr>
      <w:r>
        <w:rPr>
          <w:rFonts w:hint="eastAsia" w:ascii="宋体" w:hAnsi="宋体" w:cs="宋体"/>
          <w:b/>
          <w:szCs w:val="21"/>
        </w:rPr>
        <w:t>说明：</w:t>
      </w:r>
    </w:p>
    <w:p>
      <w:pPr>
        <w:widowControl w:val="0"/>
        <w:numPr>
          <w:ilvl w:val="0"/>
          <w:numId w:val="9"/>
        </w:numPr>
        <w:spacing w:line="360" w:lineRule="auto"/>
        <w:jc w:val="both"/>
        <w:rPr>
          <w:rFonts w:ascii="宋体" w:hAnsi="宋体" w:cs="宋体"/>
          <w:b w:val="0"/>
          <w:bCs/>
          <w:szCs w:val="21"/>
        </w:rPr>
      </w:pPr>
      <w:r>
        <w:rPr>
          <w:rFonts w:hint="eastAsia" w:ascii="宋体" w:hAnsi="宋体"/>
          <w:bCs/>
          <w:szCs w:val="21"/>
          <w:lang w:val="en-US" w:eastAsia="zh-CN"/>
        </w:rPr>
        <w:t>响应供应商</w:t>
      </w:r>
      <w:r>
        <w:rPr>
          <w:rFonts w:hint="eastAsia" w:ascii="宋体" w:hAnsi="宋体"/>
          <w:bCs/>
          <w:szCs w:val="21"/>
          <w:lang w:val="zh-CN"/>
        </w:rPr>
        <w:t>必须在投标现场提供擦手纸实物样品两包、卷纸卫生纸实物样品两卷，并在样品上标明</w:t>
      </w:r>
      <w:r>
        <w:rPr>
          <w:rFonts w:hint="eastAsia" w:ascii="宋体" w:hAnsi="宋体"/>
          <w:b w:val="0"/>
          <w:bCs/>
          <w:szCs w:val="21"/>
          <w:lang w:val="en-US" w:eastAsia="zh-CN"/>
        </w:rPr>
        <w:t>响应供应商</w:t>
      </w:r>
      <w:r>
        <w:rPr>
          <w:rFonts w:hint="eastAsia" w:ascii="宋体" w:hAnsi="宋体"/>
          <w:b w:val="0"/>
          <w:bCs/>
          <w:szCs w:val="21"/>
          <w:lang w:val="zh-CN"/>
        </w:rPr>
        <w:t>名称。</w:t>
      </w:r>
      <w:r>
        <w:rPr>
          <w:rFonts w:hint="eastAsia" w:ascii="宋体" w:hAnsi="宋体"/>
          <w:b w:val="0"/>
          <w:bCs/>
          <w:szCs w:val="21"/>
          <w:lang w:val="en-US" w:eastAsia="zh-CN"/>
        </w:rPr>
        <w:t>成交供应商</w:t>
      </w:r>
      <w:r>
        <w:rPr>
          <w:rFonts w:hint="eastAsia" w:ascii="宋体" w:hAnsi="宋体"/>
          <w:b w:val="0"/>
          <w:bCs/>
          <w:szCs w:val="21"/>
          <w:lang w:val="zh-CN"/>
        </w:rPr>
        <w:t>的实物样品封存于采购人单位，作为</w:t>
      </w:r>
      <w:r>
        <w:rPr>
          <w:rFonts w:hint="eastAsia" w:ascii="宋体" w:hAnsi="宋体"/>
          <w:b w:val="0"/>
          <w:bCs/>
          <w:szCs w:val="21"/>
          <w:lang w:val="en-US" w:eastAsia="zh-CN"/>
        </w:rPr>
        <w:t>成交供应商</w:t>
      </w:r>
      <w:r>
        <w:rPr>
          <w:rFonts w:hint="eastAsia" w:ascii="宋体" w:hAnsi="宋体"/>
          <w:b w:val="0"/>
          <w:bCs/>
          <w:szCs w:val="21"/>
          <w:lang w:val="zh-CN"/>
        </w:rPr>
        <w:t>供货验收依据。</w:t>
      </w:r>
    </w:p>
    <w:p>
      <w:pPr>
        <w:widowControl w:val="0"/>
        <w:numPr>
          <w:ilvl w:val="0"/>
          <w:numId w:val="9"/>
        </w:numPr>
        <w:spacing w:line="360" w:lineRule="auto"/>
        <w:jc w:val="both"/>
        <w:rPr>
          <w:rFonts w:ascii="宋体" w:hAnsi="宋体" w:cs="宋体"/>
          <w:b w:val="0"/>
          <w:bCs/>
          <w:szCs w:val="21"/>
        </w:rPr>
      </w:pPr>
      <w:r>
        <w:rPr>
          <w:rFonts w:hint="eastAsia" w:ascii="宋体" w:hAnsi="宋体" w:cs="宋体"/>
          <w:b w:val="0"/>
          <w:bCs/>
          <w:szCs w:val="21"/>
        </w:rPr>
        <w:t>★货物是未启封全新包装，其质量、规格满足用户需求，各项技术指标完全符合国家行业生产标准、国家有关质量检测标准及产品出厂标准。</w:t>
      </w:r>
    </w:p>
    <w:p>
      <w:pPr>
        <w:widowControl w:val="0"/>
        <w:numPr>
          <w:ilvl w:val="0"/>
          <w:numId w:val="9"/>
        </w:numPr>
        <w:spacing w:line="360" w:lineRule="auto"/>
        <w:jc w:val="both"/>
        <w:rPr>
          <w:rFonts w:ascii="宋体" w:hAnsi="宋体" w:cs="宋体"/>
          <w:szCs w:val="21"/>
        </w:rPr>
      </w:pPr>
      <w:r>
        <w:rPr>
          <w:rFonts w:hint="eastAsia" w:ascii="宋体" w:hAnsi="宋体" w:cs="宋体"/>
          <w:szCs w:val="21"/>
        </w:rPr>
        <w:t>能提供相应批次的出厂合格证，且无任何的侵权行为。</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包装、装卸、运输、保管及保险</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成交供应商负责根据用户指定的地点，将货物送到现场过程中的全部运输，包括装卸车、货物现场的搬运，由此产生的费用均由成交供应商承担。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如货物运输过程中因事故造成货物短缺、损坏，成交供应商应及时安排换货，以保证合同货物及时交付，换货的相关费用由成交供应商承担。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货物的质量保险由成交供应商负责，成交供应商负责其派出的现场服务人员人身意外保险。</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成交供应商将货物送货至采购人指定地点后，由采购人按照采购合同、相关招投文件要求进行核对，根据国家相关法律法规、质量标准，对货物的规格参数和质量进行验收。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货物在验收过程中发现所交付的货物有短缺、次品、损坏或其他不符合磋商文件、合同规定之情形者，采购人有权拒付该批货物的费用，并由成交供应商承担由此发生的一切费用和损失。</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所有货物在使用过程中发现以次充好或使用假冒伪劣产品的，成交供应商除无条件更换货物外，采购人</w:t>
      </w:r>
      <w:r>
        <w:rPr>
          <w:rFonts w:hint="eastAsia" w:ascii="宋体" w:hAnsi="宋体" w:cs="宋体"/>
          <w:szCs w:val="21"/>
          <w:lang w:val="en-US" w:eastAsia="zh-CN"/>
        </w:rPr>
        <w:t>可</w:t>
      </w:r>
      <w:r>
        <w:rPr>
          <w:rFonts w:hint="eastAsia" w:ascii="宋体" w:hAnsi="宋体" w:cs="宋体"/>
          <w:szCs w:val="21"/>
        </w:rPr>
        <w:t>按成交货物价格*更换货物数量之总值的5倍金额</w:t>
      </w:r>
      <w:r>
        <w:rPr>
          <w:rFonts w:hint="eastAsia" w:ascii="宋体" w:hAnsi="宋体" w:cs="宋体"/>
          <w:szCs w:val="21"/>
          <w:lang w:val="en-US" w:eastAsia="zh-CN"/>
        </w:rPr>
        <w:t>进行扣罚</w:t>
      </w:r>
      <w:r>
        <w:rPr>
          <w:rFonts w:hint="eastAsia" w:ascii="宋体" w:hAnsi="宋体" w:cs="宋体"/>
          <w:szCs w:val="21"/>
        </w:rPr>
        <w:t>。此种情况超过</w:t>
      </w:r>
      <w:r>
        <w:rPr>
          <w:rFonts w:hint="eastAsia" w:ascii="宋体" w:hAnsi="宋体" w:cs="宋体"/>
          <w:szCs w:val="21"/>
          <w:lang w:val="en-US" w:eastAsia="zh-CN"/>
        </w:rPr>
        <w:t>2</w:t>
      </w:r>
      <w:r>
        <w:rPr>
          <w:rFonts w:hint="eastAsia" w:ascii="宋体" w:hAnsi="宋体" w:cs="宋体"/>
          <w:szCs w:val="21"/>
        </w:rPr>
        <w:t>次或以上的，采购人有权单方终止合同。</w:t>
      </w:r>
    </w:p>
    <w:p>
      <w:pPr>
        <w:widowControl w:val="0"/>
        <w:numPr>
          <w:ilvl w:val="0"/>
          <w:numId w:val="11"/>
        </w:numPr>
        <w:spacing w:line="360" w:lineRule="auto"/>
        <w:jc w:val="both"/>
        <w:rPr>
          <w:rFonts w:ascii="宋体" w:hAnsi="宋体" w:cs="宋体"/>
          <w:b w:val="0"/>
          <w:bCs/>
          <w:szCs w:val="21"/>
        </w:rPr>
      </w:pPr>
      <w:r>
        <w:rPr>
          <w:rFonts w:hint="eastAsia" w:ascii="宋体" w:hAnsi="宋体" w:cs="宋体"/>
          <w:b w:val="0"/>
          <w:bCs/>
          <w:szCs w:val="21"/>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若成交供应商提供的产品发生知识产权纠纷的，由成交供应商执行处置与原知识产权所有者协商解决，采购人不承担与之相关的任何经济和法律责任。</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响应报价要求</w:t>
      </w:r>
    </w:p>
    <w:p>
      <w:pPr>
        <w:spacing w:line="360" w:lineRule="auto"/>
        <w:rPr>
          <w:rFonts w:ascii="宋体" w:hAnsi="宋体" w:cs="宋体"/>
          <w:szCs w:val="21"/>
        </w:rPr>
      </w:pPr>
      <w:r>
        <w:rPr>
          <w:rFonts w:hint="eastAsia" w:ascii="宋体" w:hAnsi="宋体" w:cs="宋体"/>
          <w:szCs w:val="21"/>
        </w:rPr>
        <w:t>1． 供应商对采购物品的单</w:t>
      </w:r>
      <w:r>
        <w:rPr>
          <w:rFonts w:hint="eastAsia" w:ascii="宋体" w:hAnsi="宋体" w:cs="宋体"/>
          <w:b w:val="0"/>
          <w:bCs w:val="0"/>
          <w:szCs w:val="21"/>
        </w:rPr>
        <w:t>价报出统一的投标</w:t>
      </w:r>
      <w:r>
        <w:rPr>
          <w:rFonts w:hint="eastAsia" w:ascii="宋体" w:hAnsi="宋体" w:cs="宋体"/>
          <w:szCs w:val="21"/>
        </w:rPr>
        <w:t>下浮率，下浮率在0%（含本数）-100%（含本数）范围内取值，若报价超出此范围则投标无效。</w:t>
      </w:r>
    </w:p>
    <w:p>
      <w:pPr>
        <w:spacing w:line="360" w:lineRule="auto"/>
        <w:rPr>
          <w:rFonts w:ascii="宋体" w:hAnsi="宋体" w:cs="宋体"/>
          <w:szCs w:val="21"/>
        </w:rPr>
      </w:pPr>
      <w:r>
        <w:rPr>
          <w:rFonts w:hint="eastAsia" w:ascii="宋体" w:hAnsi="宋体" w:cs="宋体"/>
          <w:szCs w:val="21"/>
        </w:rPr>
        <w:t>2． 供应商报价应为人民币含税全包价，包</w:t>
      </w:r>
      <w:r>
        <w:rPr>
          <w:rFonts w:hint="eastAsia" w:ascii="宋体" w:hAnsi="宋体" w:cs="宋体"/>
          <w:color w:val="auto"/>
          <w:szCs w:val="21"/>
        </w:rPr>
        <w:t>括货物、</w:t>
      </w:r>
      <w:r>
        <w:rPr>
          <w:rFonts w:hint="eastAsia" w:ascii="宋体" w:hAnsi="宋体" w:cs="宋体"/>
          <w:color w:val="auto"/>
        </w:rPr>
        <w:t>人工费、</w:t>
      </w:r>
      <w:r>
        <w:rPr>
          <w:rFonts w:hint="eastAsia" w:ascii="宋体" w:hAnsi="宋体" w:cs="宋体"/>
          <w:szCs w:val="21"/>
        </w:rPr>
        <w:t>价格、包装费、运杂费、保险费、卸车费、配合费、检测费、配送费、税金及供应商认为需要的所有费用，采购人不再单独支付其他费用。</w:t>
      </w:r>
    </w:p>
    <w:p>
      <w:pPr>
        <w:spacing w:line="360" w:lineRule="auto"/>
        <w:rPr>
          <w:rFonts w:ascii="宋体" w:hAnsi="宋体" w:cs="宋体"/>
          <w:b w:val="0"/>
          <w:bCs/>
          <w:color w:val="auto"/>
          <w:szCs w:val="21"/>
        </w:rPr>
      </w:pPr>
      <w:r>
        <w:rPr>
          <w:rFonts w:hint="eastAsia" w:ascii="宋体" w:hAnsi="宋体" w:cs="宋体"/>
          <w:b w:val="0"/>
          <w:bCs/>
          <w:color w:val="auto"/>
          <w:szCs w:val="21"/>
        </w:rPr>
        <w:t>★3．协议供货期间的价格：各类货物实际供货价=</w:t>
      </w:r>
      <w:r>
        <w:rPr>
          <w:rFonts w:ascii="宋体" w:hAnsi="宋体" w:cs="宋体"/>
          <w:b w:val="0"/>
          <w:bCs/>
          <w:color w:val="auto"/>
          <w:szCs w:val="21"/>
        </w:rPr>
        <w:t>最高</w:t>
      </w:r>
      <w:r>
        <w:rPr>
          <w:rFonts w:hint="eastAsia" w:ascii="宋体" w:hAnsi="宋体" w:cs="宋体"/>
          <w:b w:val="0"/>
          <w:bCs/>
          <w:color w:val="auto"/>
          <w:szCs w:val="21"/>
        </w:rPr>
        <w:t>单价</w:t>
      </w:r>
      <w:r>
        <w:rPr>
          <w:rFonts w:ascii="宋体" w:hAnsi="宋体" w:cs="宋体"/>
          <w:b w:val="0"/>
          <w:bCs/>
          <w:color w:val="auto"/>
          <w:szCs w:val="21"/>
        </w:rPr>
        <w:t>限价</w:t>
      </w:r>
      <w:r>
        <w:rPr>
          <w:rFonts w:hint="eastAsia" w:ascii="宋体" w:hAnsi="宋体" w:cs="宋体"/>
          <w:b w:val="0"/>
          <w:bCs/>
          <w:color w:val="auto"/>
          <w:szCs w:val="21"/>
        </w:rPr>
        <w:t>×（1-投标下浮率）。成交价即是合同期间的最终价格，在合同期内，价格不再随着市场同类商品市场价格的调整而进行调整。</w:t>
      </w:r>
    </w:p>
    <w:p>
      <w:pPr>
        <w:spacing w:line="360" w:lineRule="auto"/>
        <w:rPr>
          <w:rFonts w:ascii="宋体" w:hAnsi="宋体" w:cs="宋体"/>
          <w:b/>
          <w:bCs/>
          <w:szCs w:val="21"/>
        </w:rPr>
      </w:pPr>
      <w:r>
        <w:rPr>
          <w:rFonts w:hint="eastAsia" w:ascii="宋体" w:hAnsi="宋体" w:cs="宋体"/>
          <w:strike/>
          <w:szCs w:val="21"/>
        </w:rPr>
        <w:t>4</w:t>
      </w:r>
      <w:r>
        <w:rPr>
          <w:rFonts w:hint="eastAsia" w:ascii="宋体" w:hAnsi="宋体" w:cs="宋体"/>
          <w:szCs w:val="21"/>
        </w:rPr>
        <w:t>．缺项、漏项的报价为无效报价。</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质保期及售后供货要求</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内，成交供应商提供24小时响应服务，到达现场时间为2小时，解决问题的时限为到达现场后4小时内。若在到场后4小时内仍未能有效解决，成交供应商须免费提供等同或优于原参数的产品供采购人使用,否则采购人有权</w:t>
      </w:r>
      <w:r>
        <w:rPr>
          <w:rFonts w:hint="eastAsia" w:ascii="宋体" w:hAnsi="宋体" w:cs="宋体"/>
          <w:b w:val="0"/>
          <w:bCs/>
          <w:szCs w:val="21"/>
          <w:lang w:val="en-US" w:eastAsia="zh-CN"/>
        </w:rPr>
        <w:t>另行</w:t>
      </w:r>
      <w:r>
        <w:rPr>
          <w:rFonts w:hint="eastAsia" w:ascii="宋体" w:hAnsi="宋体" w:cs="宋体"/>
          <w:b w:val="0"/>
          <w:bCs/>
          <w:szCs w:val="21"/>
        </w:rPr>
        <w:t>自行采购</w:t>
      </w:r>
      <w:r>
        <w:rPr>
          <w:rFonts w:hint="eastAsia" w:ascii="宋体" w:hAnsi="宋体" w:cs="宋体"/>
          <w:b w:val="0"/>
          <w:bCs/>
          <w:szCs w:val="21"/>
          <w:lang w:val="en-US" w:eastAsia="zh-CN"/>
        </w:rPr>
        <w:t>以保证正常使用</w:t>
      </w:r>
      <w:r>
        <w:rPr>
          <w:rFonts w:hint="eastAsia" w:ascii="宋体" w:hAnsi="宋体" w:cs="宋体"/>
          <w:b w:val="0"/>
          <w:bCs/>
          <w:szCs w:val="21"/>
        </w:rPr>
        <w:t>，所产生的费用由成交供应商承担。如因此造成采购人损失的，由成交供应商承担赔偿责任。</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22"/>
        <w:numPr>
          <w:ilvl w:val="0"/>
          <w:numId w:val="6"/>
        </w:numPr>
        <w:spacing w:line="360" w:lineRule="auto"/>
        <w:ind w:firstLineChars="0"/>
        <w:rPr>
          <w:rFonts w:ascii="宋体" w:hAnsi="宋体"/>
          <w:b/>
          <w:bCs w:val="0"/>
          <w:sz w:val="28"/>
          <w:szCs w:val="28"/>
        </w:rPr>
      </w:pPr>
      <w:r>
        <w:rPr>
          <w:rFonts w:hint="eastAsia" w:ascii="宋体" w:hAnsi="宋体"/>
          <w:b/>
          <w:bCs w:val="0"/>
          <w:sz w:val="28"/>
          <w:szCs w:val="28"/>
        </w:rPr>
        <w:t>付款办法</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合同签订后，供货期内采购人可按照实际使用需要分批次要求成交供应商供货。合同无预付款，每批次订货无预付款。</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numPr>
          <w:ilvl w:val="0"/>
          <w:numId w:val="13"/>
        </w:numPr>
        <w:spacing w:line="360" w:lineRule="auto"/>
        <w:ind w:firstLineChars="0"/>
        <w:rPr>
          <w:rFonts w:ascii="宋体" w:hAnsi="宋体"/>
          <w:b w:val="0"/>
          <w:bCs/>
          <w:szCs w:val="21"/>
        </w:rPr>
      </w:pPr>
      <w:r>
        <w:rPr>
          <w:rFonts w:hint="eastAsia" w:ascii="宋体" w:hAnsi="宋体" w:cs="宋体"/>
          <w:b w:val="0"/>
          <w:bCs/>
          <w:szCs w:val="21"/>
        </w:rPr>
        <w:t>成交供应商须开具与响应文件中供应商名称一致的发票。</w:t>
      </w:r>
      <w:r>
        <w:rPr>
          <w:rFonts w:ascii="宋体" w:hAnsi="宋体"/>
          <w:b w:val="0"/>
          <w:bCs/>
          <w:szCs w:val="21"/>
        </w:rPr>
        <w:tab/>
      </w:r>
    </w:p>
    <w:p>
      <w:pPr>
        <w:pStyle w:val="22"/>
        <w:numPr>
          <w:ilvl w:val="0"/>
          <w:numId w:val="6"/>
        </w:numPr>
        <w:spacing w:line="360" w:lineRule="auto"/>
        <w:ind w:firstLineChars="0"/>
        <w:rPr>
          <w:rFonts w:hint="eastAsia" w:ascii="宋体" w:hAnsi="宋体"/>
          <w:b/>
          <w:bCs w:val="0"/>
          <w:sz w:val="28"/>
          <w:szCs w:val="28"/>
        </w:rPr>
      </w:pPr>
      <w:r>
        <w:rPr>
          <w:rFonts w:hint="eastAsia" w:ascii="宋体" w:hAnsi="宋体"/>
          <w:b/>
          <w:bCs w:val="0"/>
          <w:sz w:val="28"/>
          <w:szCs w:val="28"/>
        </w:rPr>
        <w:t>采购人配合条件</w:t>
      </w:r>
    </w:p>
    <w:p>
      <w:pPr>
        <w:numPr>
          <w:ilvl w:val="0"/>
          <w:numId w:val="14"/>
        </w:numPr>
        <w:spacing w:line="360" w:lineRule="auto"/>
        <w:ind w:left="428"/>
        <w:rPr>
          <w:rFonts w:hint="eastAsia" w:ascii="宋体" w:hAnsi="宋体"/>
          <w:b w:val="0"/>
          <w:bCs/>
          <w:szCs w:val="21"/>
          <w:lang w:val="zh-CN"/>
        </w:rPr>
      </w:pPr>
      <w:r>
        <w:rPr>
          <w:rFonts w:hint="eastAsia" w:ascii="宋体" w:hAnsi="宋体"/>
          <w:b w:val="0"/>
          <w:bCs/>
          <w:szCs w:val="21"/>
        </w:rPr>
        <w:t>供应商</w:t>
      </w:r>
      <w:r>
        <w:rPr>
          <w:rFonts w:hint="eastAsia" w:ascii="宋体" w:hAnsi="宋体"/>
          <w:b w:val="0"/>
          <w:bCs/>
          <w:szCs w:val="21"/>
          <w:lang w:val="zh-CN"/>
        </w:rPr>
        <w:t>在</w:t>
      </w:r>
      <w:r>
        <w:rPr>
          <w:rFonts w:hint="eastAsia" w:ascii="宋体" w:hAnsi="宋体"/>
          <w:b w:val="0"/>
          <w:bCs/>
          <w:szCs w:val="21"/>
        </w:rPr>
        <w:t>响应</w:t>
      </w:r>
      <w:r>
        <w:rPr>
          <w:rFonts w:hint="eastAsia" w:ascii="宋体" w:hAnsi="宋体"/>
          <w:b w:val="0"/>
          <w:bCs/>
          <w:szCs w:val="21"/>
          <w:lang w:val="zh-CN"/>
        </w:rPr>
        <w:t>文件中要列明在项目实施过程中要求采购人提供的配合条件。</w:t>
      </w: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rPr>
      </w:pPr>
    </w:p>
    <w:p>
      <w:pPr>
        <w:pStyle w:val="6"/>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3"/>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540"/>
          <w:tab w:val="left" w:pos="780"/>
        </w:tabs>
        <w:spacing w:line="360" w:lineRule="auto"/>
        <w:jc w:val="center"/>
        <w:rPr>
          <w:rFonts w:ascii="宋体" w:hAnsi="宋体"/>
          <w:sz w:val="24"/>
        </w:rPr>
      </w:pPr>
      <w:r>
        <w:rPr>
          <w:rFonts w:hint="eastAsia" w:ascii="宋体" w:hAnsi="宋体"/>
          <w:b/>
          <w:sz w:val="24"/>
        </w:rPr>
        <w:t>评标分值比例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976"/>
        <w:gridCol w:w="1868"/>
        <w:gridCol w:w="184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评分项目</w:t>
            </w:r>
          </w:p>
        </w:tc>
        <w:tc>
          <w:tcPr>
            <w:tcW w:w="1976" w:type="dxa"/>
            <w:vAlign w:val="center"/>
          </w:tcPr>
          <w:p>
            <w:pPr>
              <w:widowControl/>
              <w:jc w:val="center"/>
              <w:rPr>
                <w:rFonts w:ascii="宋体" w:hAnsi="宋体"/>
                <w:b/>
                <w:kern w:val="0"/>
                <w:szCs w:val="21"/>
              </w:rPr>
            </w:pPr>
            <w:r>
              <w:rPr>
                <w:rFonts w:hint="eastAsia" w:ascii="宋体" w:hAnsi="宋体"/>
                <w:b/>
                <w:kern w:val="0"/>
                <w:szCs w:val="21"/>
              </w:rPr>
              <w:t>技术评分</w:t>
            </w:r>
          </w:p>
        </w:tc>
        <w:tc>
          <w:tcPr>
            <w:tcW w:w="1868" w:type="dxa"/>
            <w:vAlign w:val="center"/>
          </w:tcPr>
          <w:p>
            <w:pPr>
              <w:widowControl/>
              <w:jc w:val="center"/>
              <w:rPr>
                <w:rFonts w:ascii="宋体" w:hAnsi="宋体"/>
                <w:b/>
                <w:kern w:val="0"/>
                <w:szCs w:val="21"/>
              </w:rPr>
            </w:pPr>
            <w:r>
              <w:rPr>
                <w:rFonts w:hint="eastAsia" w:ascii="宋体" w:hAnsi="宋体"/>
                <w:b/>
                <w:kern w:val="0"/>
                <w:szCs w:val="21"/>
              </w:rPr>
              <w:t>商务评分</w:t>
            </w:r>
          </w:p>
        </w:tc>
        <w:tc>
          <w:tcPr>
            <w:tcW w:w="1841" w:type="dxa"/>
            <w:vAlign w:val="center"/>
          </w:tcPr>
          <w:p>
            <w:pPr>
              <w:widowControl/>
              <w:jc w:val="center"/>
              <w:rPr>
                <w:rFonts w:ascii="宋体" w:hAnsi="宋体"/>
                <w:b/>
                <w:kern w:val="0"/>
                <w:szCs w:val="21"/>
              </w:rPr>
            </w:pPr>
            <w:r>
              <w:rPr>
                <w:rFonts w:hint="eastAsia" w:ascii="宋体" w:hAnsi="宋体"/>
                <w:b/>
                <w:kern w:val="0"/>
                <w:szCs w:val="21"/>
              </w:rPr>
              <w:t>价格评分</w:t>
            </w:r>
          </w:p>
        </w:tc>
        <w:tc>
          <w:tcPr>
            <w:tcW w:w="1609" w:type="dxa"/>
            <w:vAlign w:val="center"/>
          </w:tcPr>
          <w:p>
            <w:pPr>
              <w:widowControl/>
              <w:jc w:val="center"/>
              <w:rPr>
                <w:rFonts w:ascii="宋体" w:hAnsi="宋体"/>
                <w:b/>
                <w:kern w:val="0"/>
                <w:szCs w:val="21"/>
              </w:rPr>
            </w:pPr>
            <w:r>
              <w:rPr>
                <w:rFonts w:hint="eastAsia" w:ascii="宋体" w:hAnsi="宋体"/>
                <w:b/>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权    重</w:t>
            </w:r>
          </w:p>
        </w:tc>
        <w:tc>
          <w:tcPr>
            <w:tcW w:w="1976" w:type="dxa"/>
            <w:vAlign w:val="center"/>
          </w:tcPr>
          <w:p>
            <w:pPr>
              <w:widowControl/>
              <w:jc w:val="center"/>
              <w:rPr>
                <w:rFonts w:ascii="宋体" w:hAnsi="宋体"/>
                <w:kern w:val="0"/>
                <w:szCs w:val="21"/>
              </w:rPr>
            </w:pPr>
            <w:r>
              <w:rPr>
                <w:rFonts w:hint="eastAsia" w:ascii="宋体" w:hAnsi="宋体"/>
                <w:kern w:val="0"/>
                <w:szCs w:val="21"/>
                <w:lang w:val="en-US" w:eastAsia="zh-CN"/>
              </w:rPr>
              <w:t>55</w:t>
            </w:r>
            <w:r>
              <w:rPr>
                <w:rFonts w:hint="eastAsia" w:ascii="宋体" w:hAnsi="宋体"/>
                <w:kern w:val="0"/>
                <w:szCs w:val="21"/>
              </w:rPr>
              <w:t>分</w:t>
            </w:r>
          </w:p>
        </w:tc>
        <w:tc>
          <w:tcPr>
            <w:tcW w:w="1868" w:type="dxa"/>
            <w:vAlign w:val="center"/>
          </w:tcPr>
          <w:p>
            <w:pPr>
              <w:widowControl/>
              <w:jc w:val="center"/>
              <w:rPr>
                <w:rFonts w:ascii="宋体" w:hAnsi="宋体"/>
                <w:kern w:val="0"/>
                <w:szCs w:val="21"/>
              </w:rPr>
            </w:pPr>
            <w:r>
              <w:rPr>
                <w:rFonts w:hint="eastAsia" w:ascii="宋体" w:hAnsi="宋体"/>
                <w:kern w:val="0"/>
                <w:szCs w:val="21"/>
                <w:lang w:val="en-US" w:eastAsia="zh-CN"/>
              </w:rPr>
              <w:t>15</w:t>
            </w:r>
            <w:r>
              <w:rPr>
                <w:rFonts w:hint="eastAsia" w:ascii="宋体" w:hAnsi="宋体"/>
                <w:kern w:val="0"/>
                <w:szCs w:val="21"/>
              </w:rPr>
              <w:t>分</w:t>
            </w:r>
          </w:p>
        </w:tc>
        <w:tc>
          <w:tcPr>
            <w:tcW w:w="1841" w:type="dxa"/>
            <w:vAlign w:val="center"/>
          </w:tcPr>
          <w:p>
            <w:pPr>
              <w:widowControl/>
              <w:jc w:val="center"/>
              <w:rPr>
                <w:rFonts w:ascii="宋体" w:hAnsi="宋体"/>
                <w:kern w:val="0"/>
                <w:szCs w:val="21"/>
              </w:rPr>
            </w:pPr>
            <w:r>
              <w:rPr>
                <w:rFonts w:hint="eastAsia" w:ascii="宋体" w:hAnsi="宋体"/>
                <w:kern w:val="0"/>
                <w:szCs w:val="21"/>
                <w:lang w:val="en-US" w:eastAsia="zh-CN"/>
              </w:rPr>
              <w:t>30</w:t>
            </w:r>
            <w:r>
              <w:rPr>
                <w:rFonts w:hint="eastAsia" w:ascii="宋体" w:hAnsi="宋体"/>
                <w:kern w:val="0"/>
                <w:szCs w:val="21"/>
              </w:rPr>
              <w:t>分</w:t>
            </w:r>
          </w:p>
        </w:tc>
        <w:tc>
          <w:tcPr>
            <w:tcW w:w="1609" w:type="dxa"/>
            <w:vAlign w:val="center"/>
          </w:tcPr>
          <w:p>
            <w:pPr>
              <w:widowControl/>
              <w:jc w:val="center"/>
              <w:rPr>
                <w:rFonts w:ascii="宋体" w:hAnsi="宋体"/>
                <w:kern w:val="0"/>
                <w:szCs w:val="21"/>
              </w:rPr>
            </w:pPr>
            <w:r>
              <w:rPr>
                <w:rFonts w:hint="eastAsia" w:ascii="宋体" w:hAnsi="宋体"/>
                <w:kern w:val="0"/>
                <w:szCs w:val="21"/>
              </w:rPr>
              <w:t>100分</w:t>
            </w:r>
          </w:p>
        </w:tc>
      </w:tr>
    </w:tbl>
    <w:p>
      <w:pPr>
        <w:tabs>
          <w:tab w:val="left" w:pos="630"/>
        </w:tabs>
        <w:autoSpaceDE w:val="0"/>
        <w:autoSpaceDN w:val="0"/>
        <w:adjustRightInd w:val="0"/>
        <w:spacing w:line="360" w:lineRule="auto"/>
        <w:rPr>
          <w:rFonts w:ascii="宋体" w:cs="宋体"/>
          <w:szCs w:val="21"/>
        </w:rPr>
      </w:pPr>
    </w:p>
    <w:tbl>
      <w:tblPr>
        <w:tblStyle w:val="14"/>
        <w:tblpPr w:leftFromText="180" w:rightFromText="180" w:vertAnchor="text" w:horzAnchor="page" w:tblpXSpec="center" w:tblpY="432"/>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83" w:hRule="atLeast"/>
          <w:jc w:val="center"/>
        </w:trPr>
        <w:tc>
          <w:tcPr>
            <w:tcW w:w="582" w:type="dxa"/>
            <w:vAlign w:val="center"/>
          </w:tcPr>
          <w:p>
            <w:pPr>
              <w:ind w:left="-78" w:leftChars="-37" w:right="-73" w:rightChars="-35"/>
              <w:jc w:val="center"/>
              <w:rPr>
                <w:rFonts w:ascii="宋体" w:hAnsi="宋体" w:cs="宋体"/>
                <w:b/>
              </w:rPr>
            </w:pPr>
            <w:r>
              <w:rPr>
                <w:rFonts w:hint="eastAsia" w:ascii="宋体" w:hAnsi="宋体" w:cs="宋体"/>
                <w:b/>
              </w:rPr>
              <w:t>序号</w:t>
            </w:r>
          </w:p>
        </w:tc>
        <w:tc>
          <w:tcPr>
            <w:tcW w:w="1368"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946"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629" w:type="dxa"/>
            <w:tcBorders>
              <w:righ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权重（%）</w:t>
            </w:r>
          </w:p>
        </w:tc>
        <w:tc>
          <w:tcPr>
            <w:tcW w:w="1033"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582" w:type="dxa"/>
            <w:vAlign w:val="center"/>
          </w:tcPr>
          <w:p>
            <w:pPr>
              <w:ind w:left="-78" w:leftChars="-37" w:right="-73" w:rightChars="-35"/>
              <w:jc w:val="center"/>
              <w:rPr>
                <w:rFonts w:ascii="宋体" w:hAnsi="宋体" w:cs="宋体"/>
              </w:rPr>
            </w:pPr>
            <w:r>
              <w:rPr>
                <w:rFonts w:hint="eastAsia" w:ascii="宋体" w:hAnsi="宋体" w:cs="宋体"/>
              </w:rPr>
              <w:t>一</w:t>
            </w:r>
          </w:p>
        </w:tc>
        <w:tc>
          <w:tcPr>
            <w:tcW w:w="8976" w:type="dxa"/>
            <w:gridSpan w:val="4"/>
            <w:vAlign w:val="center"/>
          </w:tcPr>
          <w:p>
            <w:pPr>
              <w:ind w:left="-78" w:leftChars="-37" w:right="-73" w:rightChars="-35"/>
              <w:jc w:val="center"/>
              <w:rPr>
                <w:rFonts w:ascii="宋体" w:hAnsi="宋体" w:cs="宋体"/>
              </w:rPr>
            </w:pPr>
            <w:r>
              <w:rPr>
                <w:rFonts w:hint="eastAsia" w:ascii="宋体" w:hAnsi="宋体"/>
              </w:rPr>
              <w:t>技术部分(合计</w:t>
            </w:r>
            <w:r>
              <w:rPr>
                <w:rFonts w:hint="eastAsia" w:ascii="宋体" w:hAnsi="宋体"/>
                <w:lang w:val="en-US" w:eastAsia="zh-CN"/>
              </w:rPr>
              <w:t>55</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产品符合性及用户需求相应程度</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投标人所投产品的技术参数及质量标准完全满足用户需求</w:t>
            </w:r>
            <w:r>
              <w:rPr>
                <w:rFonts w:hint="eastAsia" w:ascii="宋体" w:hAnsi="宋体" w:cs="宋体"/>
                <w:szCs w:val="21"/>
                <w:lang w:val="en-US" w:eastAsia="zh-CN" w:bidi="ar"/>
              </w:rPr>
              <w:t>参数要求</w:t>
            </w:r>
            <w:r>
              <w:rPr>
                <w:rFonts w:hint="eastAsia" w:ascii="宋体" w:hAnsi="宋体"/>
                <w:color w:val="000000"/>
                <w:szCs w:val="21"/>
                <w:lang w:bidi="ar"/>
              </w:rPr>
              <w:t>的</w:t>
            </w:r>
            <w:r>
              <w:rPr>
                <w:rFonts w:hint="eastAsia" w:ascii="宋体" w:hAnsi="宋体" w:cs="宋体"/>
                <w:szCs w:val="21"/>
                <w:lang w:bidi="ar"/>
              </w:rPr>
              <w:t>，得</w:t>
            </w:r>
            <w:r>
              <w:rPr>
                <w:rFonts w:hint="eastAsia" w:ascii="宋体" w:hAnsi="宋体" w:cs="宋体"/>
                <w:szCs w:val="21"/>
                <w:lang w:val="en-US" w:eastAsia="zh-CN" w:bidi="ar"/>
              </w:rPr>
              <w:t>18</w:t>
            </w:r>
            <w:r>
              <w:rPr>
                <w:rFonts w:hint="eastAsia" w:ascii="宋体" w:hAnsi="宋体" w:cs="宋体"/>
                <w:szCs w:val="21"/>
                <w:lang w:bidi="ar"/>
              </w:rPr>
              <w:t>分，技术要求有偏离的（存在负偏离），存在一处扣 1 分，扣完为止。</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样品比较</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根据投标人投标现场提供的样品质量、外观等横向比较。</w:t>
            </w:r>
            <w:r>
              <w:rPr>
                <w:rFonts w:hint="eastAsia" w:ascii="宋体" w:hAnsi="宋体"/>
                <w:szCs w:val="21"/>
                <w:lang w:bidi="ar"/>
              </w:rPr>
              <w:t>优：</w:t>
            </w:r>
            <w:r>
              <w:rPr>
                <w:rFonts w:hint="eastAsia" w:ascii="宋体" w:hAnsi="宋体"/>
                <w:szCs w:val="21"/>
                <w:lang w:val="en-US" w:eastAsia="zh-CN" w:bidi="ar"/>
              </w:rPr>
              <w:t>15</w:t>
            </w:r>
            <w:r>
              <w:rPr>
                <w:rFonts w:hint="eastAsia" w:ascii="宋体" w:hAnsi="宋体"/>
                <w:szCs w:val="21"/>
                <w:lang w:bidi="ar"/>
              </w:rPr>
              <w:t>分，良：</w:t>
            </w:r>
            <w:r>
              <w:rPr>
                <w:rFonts w:hint="eastAsia" w:ascii="宋体" w:hAnsi="宋体"/>
                <w:szCs w:val="21"/>
                <w:lang w:val="en-US" w:eastAsia="zh-CN" w:bidi="ar"/>
              </w:rPr>
              <w:t>8</w:t>
            </w:r>
            <w:r>
              <w:rPr>
                <w:rFonts w:hint="eastAsia" w:ascii="宋体" w:hAnsi="宋体"/>
                <w:szCs w:val="21"/>
                <w:lang w:bidi="ar"/>
              </w:rPr>
              <w:t>分，中：1分，差：0分。</w:t>
            </w:r>
            <w:r>
              <w:rPr>
                <w:rFonts w:hint="eastAsia" w:ascii="宋体" w:hAnsi="宋体" w:cs="宋体"/>
                <w:szCs w:val="21"/>
                <w:lang w:bidi="ar"/>
              </w:rPr>
              <w:t>（</w:t>
            </w:r>
            <w:r>
              <w:rPr>
                <w:rFonts w:hint="eastAsia" w:ascii="宋体" w:hAnsi="宋体" w:cs="宋体"/>
                <w:szCs w:val="21"/>
                <w:lang w:val="en-US" w:eastAsia="zh-CN" w:bidi="ar"/>
              </w:rPr>
              <w:t>未提供</w:t>
            </w:r>
            <w:r>
              <w:rPr>
                <w:rFonts w:hint="eastAsia" w:ascii="宋体" w:hAnsi="宋体" w:cs="宋体"/>
                <w:szCs w:val="21"/>
                <w:lang w:bidi="ar"/>
              </w:rPr>
              <w:t>样品不得分）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供货（配送）服务方案</w:t>
            </w:r>
          </w:p>
        </w:tc>
        <w:tc>
          <w:tcPr>
            <w:tcW w:w="5946" w:type="dxa"/>
            <w:vAlign w:val="center"/>
          </w:tcPr>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日常供货（配送）服务便捷性和及时性非常好，得</w:t>
            </w:r>
            <w:r>
              <w:rPr>
                <w:rFonts w:hint="eastAsia" w:cs="宋体"/>
                <w:color w:val="auto"/>
                <w:kern w:val="2"/>
                <w:sz w:val="21"/>
                <w:szCs w:val="21"/>
                <w:lang w:val="en-US" w:eastAsia="zh-CN"/>
              </w:rPr>
              <w:t>9</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日常供货（配送）服务便捷性和及时性比较好，得</w:t>
            </w:r>
            <w:r>
              <w:rPr>
                <w:rFonts w:hint="eastAsia" w:cs="宋体"/>
                <w:color w:val="auto"/>
                <w:kern w:val="2"/>
                <w:sz w:val="21"/>
                <w:szCs w:val="21"/>
                <w:lang w:val="en-US" w:eastAsia="zh-CN"/>
              </w:rPr>
              <w:t>4</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日常供货（配送）服务便捷性和及时性一般，得</w:t>
            </w:r>
            <w:r>
              <w:rPr>
                <w:rFonts w:hint="eastAsia" w:cs="宋体"/>
                <w:color w:val="auto"/>
                <w:kern w:val="2"/>
                <w:sz w:val="21"/>
                <w:szCs w:val="21"/>
                <w:lang w:val="en-US" w:eastAsia="zh-CN"/>
              </w:rPr>
              <w:t>1</w:t>
            </w:r>
            <w:r>
              <w:rPr>
                <w:rFonts w:hint="eastAsia" w:cs="宋体"/>
                <w:color w:val="auto"/>
                <w:kern w:val="2"/>
                <w:sz w:val="21"/>
                <w:szCs w:val="21"/>
              </w:rPr>
              <w:t>分；</w:t>
            </w:r>
          </w:p>
          <w:p>
            <w:pPr>
              <w:widowControl/>
              <w:jc w:val="left"/>
              <w:rPr>
                <w:rFonts w:asciiTheme="minorEastAsia" w:hAnsiTheme="minorEastAsia" w:eastAsiaTheme="minorEastAsia" w:cstheme="minorEastAsia"/>
                <w:szCs w:val="21"/>
              </w:rPr>
            </w:pPr>
            <w:r>
              <w:rPr>
                <w:rFonts w:hint="eastAsia" w:cs="宋体"/>
                <w:color w:val="auto"/>
                <w:kern w:val="2"/>
                <w:sz w:val="21"/>
                <w:szCs w:val="21"/>
              </w:rPr>
              <w:t>日常供货（配送）服务便捷性和及时性非常差，得</w:t>
            </w:r>
            <w:r>
              <w:rPr>
                <w:rFonts w:hint="eastAsia" w:ascii="宋体" w:hAnsi="宋体" w:eastAsia="宋体" w:cs="宋体"/>
                <w:color w:val="auto"/>
                <w:kern w:val="2"/>
                <w:sz w:val="21"/>
                <w:szCs w:val="21"/>
                <w:lang w:val="en-US" w:eastAsia="zh-CN" w:bidi="ar-SA"/>
              </w:rPr>
              <w:t>0</w:t>
            </w:r>
            <w:r>
              <w:rPr>
                <w:rFonts w:hint="eastAsia" w:cs="宋体"/>
                <w:color w:val="auto"/>
                <w:kern w:val="2"/>
                <w:sz w:val="21"/>
                <w:szCs w:val="21"/>
              </w:rPr>
              <w:t>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应急服务措施、方案</w:t>
            </w:r>
          </w:p>
        </w:tc>
        <w:tc>
          <w:tcPr>
            <w:tcW w:w="5946" w:type="dxa"/>
            <w:vAlign w:val="center"/>
          </w:tcPr>
          <w:p>
            <w:pPr>
              <w:widowControl w:val="0"/>
              <w:numPr>
                <w:ilvl w:val="0"/>
                <w:numId w:val="0"/>
              </w:numPr>
              <w:ind w:leftChars="0"/>
              <w:rPr>
                <w:rFonts w:ascii="宋体" w:hAnsi="宋体" w:cs="宋体"/>
                <w:szCs w:val="21"/>
              </w:rPr>
            </w:pPr>
            <w:r>
              <w:rPr>
                <w:rFonts w:hint="eastAsia" w:ascii="宋体" w:hAnsi="宋体" w:cs="宋体"/>
                <w:szCs w:val="21"/>
              </w:rPr>
              <w:t>有详细、科学的应急服务措施、方案，得</w:t>
            </w:r>
            <w:r>
              <w:rPr>
                <w:rFonts w:hint="eastAsia" w:ascii="宋体" w:hAnsi="宋体" w:cs="宋体"/>
                <w:szCs w:val="21"/>
                <w:lang w:val="en-US" w:eastAsia="zh-CN"/>
              </w:rPr>
              <w:t>8</w:t>
            </w:r>
            <w:r>
              <w:rPr>
                <w:rFonts w:hint="eastAsia" w:ascii="宋体" w:hAnsi="宋体" w:cs="宋体"/>
                <w:szCs w:val="21"/>
              </w:rPr>
              <w:t>分；</w:t>
            </w:r>
          </w:p>
          <w:p>
            <w:pPr>
              <w:widowControl w:val="0"/>
              <w:numPr>
                <w:ilvl w:val="0"/>
                <w:numId w:val="0"/>
              </w:numPr>
              <w:ind w:leftChars="0"/>
              <w:rPr>
                <w:rFonts w:ascii="宋体" w:hAnsi="宋体" w:cs="宋体"/>
                <w:szCs w:val="21"/>
              </w:rPr>
            </w:pPr>
            <w:r>
              <w:rPr>
                <w:rFonts w:hint="eastAsia" w:ascii="宋体" w:hAnsi="宋体" w:cs="宋体"/>
                <w:szCs w:val="21"/>
              </w:rPr>
              <w:t>有可操作性的应急服务措施、方案，得4分；</w:t>
            </w:r>
          </w:p>
          <w:p>
            <w:pPr>
              <w:widowControl w:val="0"/>
              <w:numPr>
                <w:ilvl w:val="0"/>
                <w:numId w:val="0"/>
              </w:numPr>
              <w:ind w:leftChars="0"/>
              <w:rPr>
                <w:rFonts w:ascii="宋体" w:hAnsi="宋体" w:cs="宋体"/>
                <w:szCs w:val="21"/>
              </w:rPr>
            </w:pPr>
            <w:r>
              <w:rPr>
                <w:rFonts w:hint="eastAsia" w:ascii="宋体" w:hAnsi="宋体" w:cs="宋体"/>
                <w:szCs w:val="21"/>
              </w:rPr>
              <w:t>应急服务措施、方案可操作性差，得1分；</w:t>
            </w:r>
          </w:p>
          <w:p>
            <w:pPr>
              <w:widowControl/>
              <w:jc w:val="left"/>
              <w:rPr>
                <w:rFonts w:asciiTheme="minorEastAsia" w:hAnsiTheme="minorEastAsia" w:eastAsiaTheme="minorEastAsia" w:cstheme="minorEastAsia"/>
                <w:szCs w:val="21"/>
              </w:rPr>
            </w:pPr>
            <w:r>
              <w:rPr>
                <w:rFonts w:hint="eastAsia" w:ascii="宋体" w:hAnsi="宋体" w:cs="宋体"/>
                <w:szCs w:val="21"/>
              </w:rPr>
              <w:t>无应急服务措施、方案，得0分。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宋体" w:hAnsi="宋体"/>
                <w:szCs w:val="21"/>
              </w:rPr>
              <w:t>增值服务</w:t>
            </w:r>
          </w:p>
        </w:tc>
        <w:tc>
          <w:tcPr>
            <w:tcW w:w="5946" w:type="dxa"/>
            <w:vAlign w:val="center"/>
          </w:tcPr>
          <w:p>
            <w:pPr>
              <w:widowControl/>
              <w:jc w:val="left"/>
              <w:rPr>
                <w:rFonts w:ascii="宋体" w:hAnsi="宋体" w:cs="宋体"/>
                <w:szCs w:val="21"/>
              </w:rPr>
            </w:pPr>
            <w:r>
              <w:rPr>
                <w:rFonts w:hint="eastAsia" w:ascii="宋体" w:hAnsi="宋体" w:cs="宋体"/>
                <w:szCs w:val="21"/>
                <w:lang w:bidi="ar"/>
              </w:rPr>
              <w:t>根据投标人针对本项目提供的增值服务情况进行比较评分。</w:t>
            </w:r>
          </w:p>
          <w:p>
            <w:pPr>
              <w:widowControl/>
              <w:jc w:val="left"/>
              <w:rPr>
                <w:rFonts w:hint="eastAsia" w:ascii="宋体" w:hAnsi="宋体"/>
                <w:szCs w:val="21"/>
                <w:lang w:bidi="ar"/>
              </w:rPr>
            </w:pPr>
            <w:r>
              <w:rPr>
                <w:rFonts w:hint="eastAsia" w:ascii="宋体" w:hAnsi="宋体"/>
                <w:szCs w:val="21"/>
                <w:lang w:bidi="ar"/>
              </w:rPr>
              <w:t>优：</w:t>
            </w:r>
            <w:r>
              <w:rPr>
                <w:rFonts w:hint="eastAsia" w:ascii="宋体" w:hAnsi="宋体"/>
                <w:szCs w:val="21"/>
                <w:lang w:val="en-US" w:eastAsia="zh-CN" w:bidi="ar"/>
              </w:rPr>
              <w:t>5</w:t>
            </w:r>
            <w:r>
              <w:rPr>
                <w:rFonts w:hint="eastAsia" w:ascii="宋体" w:hAnsi="宋体"/>
                <w:szCs w:val="21"/>
                <w:lang w:bidi="ar"/>
              </w:rPr>
              <w:t>分，良：</w:t>
            </w:r>
            <w:r>
              <w:rPr>
                <w:rFonts w:hint="eastAsia" w:ascii="宋体" w:hAnsi="宋体"/>
                <w:szCs w:val="21"/>
                <w:lang w:val="en-US" w:eastAsia="zh-CN" w:bidi="ar"/>
              </w:rPr>
              <w:t>3</w:t>
            </w:r>
            <w:r>
              <w:rPr>
                <w:rFonts w:hint="eastAsia" w:ascii="宋体" w:hAnsi="宋体"/>
                <w:szCs w:val="21"/>
                <w:lang w:bidi="ar"/>
              </w:rPr>
              <w:t>分，中：</w:t>
            </w:r>
            <w:r>
              <w:rPr>
                <w:rFonts w:hint="eastAsia" w:ascii="宋体" w:hAnsi="宋体"/>
                <w:szCs w:val="21"/>
                <w:lang w:val="en-US" w:eastAsia="zh-CN" w:bidi="ar"/>
              </w:rPr>
              <w:t>1</w:t>
            </w:r>
            <w:r>
              <w:rPr>
                <w:rFonts w:hint="eastAsia" w:ascii="宋体" w:hAnsi="宋体"/>
                <w:szCs w:val="21"/>
                <w:lang w:bidi="ar"/>
              </w:rPr>
              <w:t>分，差：0分。</w:t>
            </w:r>
          </w:p>
          <w:p>
            <w:pPr>
              <w:widowControl/>
              <w:jc w:val="left"/>
              <w:rPr>
                <w:rFonts w:asciiTheme="minorEastAsia" w:hAnsiTheme="minorEastAsia" w:eastAsiaTheme="minorEastAsia" w:cstheme="minorEastAsia"/>
                <w:szCs w:val="21"/>
              </w:rPr>
            </w:pPr>
            <w:r>
              <w:rPr>
                <w:rFonts w:hint="eastAsia" w:ascii="宋体" w:hAnsi="宋体"/>
                <w:szCs w:val="21"/>
                <w:lang w:bidi="ar"/>
              </w:rPr>
              <w:t>（须提供增值服务承诺书，未提供得0分）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582" w:type="dxa"/>
            <w:tcBorders>
              <w:top w:val="single" w:color="auto" w:sz="4" w:space="0"/>
            </w:tcBorders>
            <w:vAlign w:val="center"/>
          </w:tcPr>
          <w:p>
            <w:pPr>
              <w:jc w:val="center"/>
              <w:rPr>
                <w:rFonts w:ascii="宋体" w:hAnsi="宋体"/>
                <w:b/>
              </w:rPr>
            </w:pPr>
            <w:r>
              <w:rPr>
                <w:rFonts w:hint="eastAsia" w:ascii="宋体" w:hAnsi="宋体"/>
                <w:b/>
              </w:rPr>
              <w:t>二</w:t>
            </w:r>
          </w:p>
        </w:tc>
        <w:tc>
          <w:tcPr>
            <w:tcW w:w="8976" w:type="dxa"/>
            <w:gridSpan w:val="4"/>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商务部分(合计</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供应商具有有效的质量管理体系认证证书，职业健康安全管理体系认证证书，环境管理体系认证证书，每提供一个证书得1分，本小项满分3分。（注：响应文件中提供上述认证证书复印件，同时提供上述认证证书通过全国认证认可信息公共服务平台（http://cx.cnca.cn/）查询有效的结果截图并加盖供应商公章，未按要求提供的不得分。）</w:t>
            </w:r>
          </w:p>
        </w:tc>
        <w:tc>
          <w:tcPr>
            <w:tcW w:w="629" w:type="dxa"/>
            <w:tcBorders>
              <w:right w:val="single" w:color="auto" w:sz="4" w:space="0"/>
            </w:tcBorders>
            <w:vAlign w:val="center"/>
          </w:tcPr>
          <w:p>
            <w:pPr>
              <w:ind w:left="-63" w:leftChars="-30" w:right="-88" w:rightChars="-4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同类项目业绩</w:t>
            </w:r>
          </w:p>
        </w:tc>
        <w:tc>
          <w:tcPr>
            <w:tcW w:w="5946" w:type="dxa"/>
            <w:vAlign w:val="center"/>
          </w:tcPr>
          <w:p>
            <w:pPr>
              <w:pStyle w:val="25"/>
              <w:kinsoku w:val="0"/>
              <w:overflowPunct w:val="0"/>
              <w:spacing w:before="165"/>
              <w:rPr>
                <w:rFonts w:ascii="宋体" w:hAnsi="宋体" w:cs="宋体"/>
                <w:b w:val="0"/>
                <w:bCs/>
                <w:sz w:val="21"/>
                <w:szCs w:val="21"/>
              </w:rPr>
            </w:pPr>
            <w:r>
              <w:rPr>
                <w:rFonts w:ascii="宋体" w:hAnsi="宋体" w:cs="宋体"/>
                <w:b w:val="0"/>
                <w:bCs/>
                <w:sz w:val="21"/>
                <w:szCs w:val="21"/>
              </w:rPr>
              <w:t>供应商20</w:t>
            </w:r>
            <w:r>
              <w:rPr>
                <w:rFonts w:hint="eastAsia" w:ascii="宋体" w:hAnsi="宋体" w:cs="宋体"/>
                <w:b w:val="0"/>
                <w:bCs/>
                <w:sz w:val="21"/>
                <w:szCs w:val="21"/>
                <w:lang w:val="en-US" w:eastAsia="zh-CN"/>
              </w:rPr>
              <w:t>20</w:t>
            </w:r>
            <w:r>
              <w:rPr>
                <w:rFonts w:ascii="宋体" w:hAnsi="宋体" w:cs="宋体"/>
                <w:b w:val="0"/>
                <w:bCs/>
                <w:sz w:val="21"/>
                <w:szCs w:val="21"/>
              </w:rPr>
              <w:t>年1月1日以来已完成的同类项目的业绩，每个得</w:t>
            </w:r>
            <w:r>
              <w:rPr>
                <w:rFonts w:hint="eastAsia" w:ascii="宋体" w:hAnsi="宋体" w:cs="宋体"/>
                <w:b w:val="0"/>
                <w:bCs/>
                <w:sz w:val="21"/>
                <w:szCs w:val="21"/>
                <w:lang w:val="en-US" w:eastAsia="zh-CN"/>
              </w:rPr>
              <w:t>1</w:t>
            </w:r>
            <w:r>
              <w:rPr>
                <w:rFonts w:ascii="宋体" w:hAnsi="宋体" w:cs="宋体"/>
                <w:b w:val="0"/>
                <w:bCs/>
                <w:sz w:val="21"/>
                <w:szCs w:val="21"/>
              </w:rPr>
              <w:t>分，累计最高</w:t>
            </w:r>
            <w:r>
              <w:rPr>
                <w:rFonts w:hint="eastAsia" w:ascii="宋体" w:hAnsi="宋体" w:cs="宋体"/>
                <w:b w:val="0"/>
                <w:bCs/>
                <w:sz w:val="21"/>
                <w:szCs w:val="21"/>
                <w:lang w:val="en-US" w:eastAsia="zh-CN"/>
              </w:rPr>
              <w:t>1</w:t>
            </w:r>
            <w:r>
              <w:rPr>
                <w:rFonts w:ascii="宋体" w:hAnsi="宋体" w:cs="宋体"/>
                <w:b w:val="0"/>
                <w:bCs/>
                <w:sz w:val="21"/>
                <w:szCs w:val="21"/>
              </w:rPr>
              <w:t>0分。</w:t>
            </w:r>
          </w:p>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（注：响应文件中须附业绩合同关键页复印件并加盖公章，不提供不得分）</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0"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信用评价</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提供由中国人民银行征信中心或合法第三方信用服务机构出具的有效的企业信用报告得2分，响应文件中提供复印件加盖供应商公章，不按要求提供不得分。信用报告中存在失信或违法行为的不得分。注：1、第三方信用服务机构是指按照相关法律法规的规定在中国人民银行进行备案的机构，若提供第三方信用服务机构出具的信用报告须附中国人民银行的备案证明材料，不提供备案证明材料不得分。2、若提供中国人民银行征信中心出具的信用报告，不需要附备案证明材料。3、信用报告须在有效期内。若信用报告中，没有显示有效期的，信用报告须为近一年内开具（以投标截止之日计近一年）。</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tc>
      </w:tr>
    </w:tbl>
    <w:p>
      <w:pPr>
        <w:rPr>
          <w:b w:val="0"/>
          <w:bCs/>
        </w:rPr>
      </w:pPr>
    </w:p>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3"/>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5"/>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关键</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交货时间：成交供应商应保证充足的货源，保证供货，在收到采购人下单通知后3日内把指定货物交付到中山市小榄人民医院日用品仓库。如收到采购人紧急下单情况的，应在3小时内到货。</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供货期限：本项目提供货物总额累计达到预算金额¥225,000.00或项目供货期满，则合同自动终止。成交供应商在实施项目过程中如有违法违规行为的，采购人有权取消其供货资格，造成的损失由成交供应商承担。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擦手纸：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规格：每包≥200抽，22.5cm×23cm （长偏差±5㎜；宽偏差±5㎜；偏斜度≤3㎜）。</w:t>
            </w:r>
          </w:p>
          <w:p>
            <w:pPr>
              <w:pStyle w:val="2"/>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en-US" w:eastAsia="zh-CN" w:bidi="ar-SA"/>
              </w:rPr>
              <w:t>定量：≥43g/㎡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卷纸：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规格型号：101mm×115mm/节（尺寸偏差：长偏差±5㎜；宽偏差±5㎜；偏斜度≤3㎜）；三层；10卷/条；≥120g/卷。</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widowControl/>
              <w:spacing w:line="360" w:lineRule="auto"/>
              <w:jc w:val="left"/>
              <w:rPr>
                <w:rFonts w:hint="eastAsia" w:asciiTheme="minorEastAsia" w:hAnsiTheme="minorEastAsia" w:eastAsiaTheme="minorEastAsia" w:cstheme="minorEastAsia"/>
                <w:szCs w:val="21"/>
                <w:lang w:val="zh-TW" w:eastAsia="zh-CN"/>
              </w:rPr>
            </w:pPr>
            <w:r>
              <w:rPr>
                <w:rFonts w:hint="eastAsia" w:ascii="宋体" w:hAnsi="宋体" w:eastAsia="宋体" w:cs="宋体"/>
                <w:bCs/>
                <w:kern w:val="2"/>
                <w:sz w:val="21"/>
                <w:szCs w:val="21"/>
                <w:lang w:val="en-US" w:eastAsia="zh-CN" w:bidi="ar-SA"/>
              </w:rPr>
              <w:t>定量：16.0±1.0g/㎡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Theme="minorEastAsia" w:hAnsiTheme="minorEastAsia" w:eastAsiaTheme="minorEastAsia" w:cstheme="minorEastAsia"/>
                <w:szCs w:val="21"/>
                <w:lang w:val="en-US" w:eastAsia="zh-CN"/>
              </w:rPr>
              <w:t>投标人在投标现场必须提供第三方检测部门出具的合格检测报告复印件，检测报告的内容可以佐证投标货物质量要求。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货物是未启封全新包装，其质量、规格满足用户需求，各项技术指标完全符合国家行业生产标准、国家有关质量检测标准及产品出厂标准。</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协议供货期间的价格：各类货物实际供货价=最高单价限价×（1-投标下浮率）。成交价即是合同期间的最终价格，在合同期内，价格不再随着市场同类商品市场价格的调整而进行调整。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6345" w:type="dxa"/>
            <w:vAlign w:val="center"/>
          </w:tcPr>
          <w:p>
            <w:pPr>
              <w:spacing w:line="360" w:lineRule="auto"/>
              <w:rPr>
                <w:rFonts w:hint="eastAsia" w:ascii="宋体" w:hAnsi="宋体" w:eastAsia="宋体" w:cs="宋体"/>
                <w:kern w:val="2"/>
                <w:sz w:val="18"/>
                <w:szCs w:val="21"/>
                <w:lang w:val="zh-TW" w:eastAsia="zh-TW" w:bidi="zh-TW"/>
              </w:rPr>
            </w:pP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6345" w:type="dxa"/>
            <w:vAlign w:val="center"/>
          </w:tcPr>
          <w:p>
            <w:pPr>
              <w:pStyle w:val="19"/>
              <w:spacing w:line="360" w:lineRule="auto"/>
              <w:ind w:firstLine="180" w:firstLineChars="100"/>
              <w:rPr>
                <w:rFonts w:hint="eastAsia" w:ascii="宋体" w:hAnsi="宋体" w:eastAsia="宋体" w:cs="宋体"/>
                <w:kern w:val="2"/>
                <w:sz w:val="18"/>
                <w:szCs w:val="21"/>
                <w:lang w:val="zh-TW" w:eastAsia="zh-TW" w:bidi="zh-TW"/>
              </w:rPr>
            </w:pP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重点</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7"/>
        <w:gridCol w:w="533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108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采购物品</w:t>
            </w:r>
          </w:p>
        </w:tc>
        <w:tc>
          <w:tcPr>
            <w:tcW w:w="533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擦手纸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外观：白色、皱纹细腻、均匀，直面洁净、无印花及图案，不应有明显的死皱、残缺、破损、沙子、硬质块、生浆、杂质等纸病，不应有掉粉、掉毛及湿水后粘手、掉色等现象。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亮度（白度）：≤88.0%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横向抗张指数：≥5.0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纵向湿抗张指数：≥3.0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单层横向吸液高度（成品层）：≥15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洞眼：总数≤10个/㎡；（2～5）mm≤10个/㎡；（＞5mm，≤8mm）≤1个/㎡；（＞8mm）不应有。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尘埃度：总数≤100个/㎡；（0.2～1.0）ｍ㎡≤100个/㎡；（＞1.0ｍ㎡，≤2.0ｍ㎡）≤2个/㎡；（＞2.0ｍ㎡）不应有。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交货水分：≤10.0%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内装量偏差：≥-2.0%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卷纸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亮度：≤90.0%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横向吸液高度（成品层）：≥40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抗张指数（纵横平均）：≥3.5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柔软度（3层成品层纵横平均）：≤220 mN</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洞眼：总数≤6/㎡；（2～5）mm≤6/㎡；（＞5mm，≤8mm）≤2/㎡；（＞8mm）不应有。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尘埃度：总数≤20个/㎡；（0.2～1.0）ｍ㎡≤20个/㎡；（＞1.0ｍ㎡，≤2.0ｍ㎡）≤4个/㎡；（＞2.0ｍ㎡）不应有。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交货水分：≤9.0%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灰分：≤1.0%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不得检测出大肠菌落、金黄色葡萄球菌及溶血性链球菌等致病性球菌。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4"/>
        <w:tabs>
          <w:tab w:val="center" w:pos="4450"/>
          <w:tab w:val="left" w:pos="6396"/>
        </w:tabs>
        <w:jc w:val="center"/>
        <w:rPr>
          <w:rFonts w:hint="eastAsia" w:ascii="宋体" w:hAnsi="宋体" w:eastAsia="宋体" w:cs="宋体"/>
        </w:rPr>
      </w:pP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8"/>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CC38"/>
    <w:multiLevelType w:val="singleLevel"/>
    <w:tmpl w:val="9DCDCC38"/>
    <w:lvl w:ilvl="0" w:tentative="0">
      <w:start w:val="1"/>
      <w:numFmt w:val="decimal"/>
      <w:lvlText w:val="%1."/>
      <w:lvlJc w:val="left"/>
      <w:pPr>
        <w:ind w:left="425" w:hanging="425"/>
      </w:pPr>
      <w:rPr>
        <w:rFonts w:hint="default"/>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A212499C"/>
    <w:multiLevelType w:val="singleLevel"/>
    <w:tmpl w:val="A212499C"/>
    <w:lvl w:ilvl="0" w:tentative="0">
      <w:start w:val="1"/>
      <w:numFmt w:val="decimal"/>
      <w:lvlText w:val="%1."/>
      <w:lvlJc w:val="left"/>
      <w:pPr>
        <w:ind w:left="425" w:hanging="425"/>
      </w:pPr>
      <w:rPr>
        <w:rFonts w:hint="default"/>
      </w:rPr>
    </w:lvl>
  </w:abstractNum>
  <w:abstractNum w:abstractNumId="3">
    <w:nsid w:val="D231ACB9"/>
    <w:multiLevelType w:val="singleLevel"/>
    <w:tmpl w:val="D231ACB9"/>
    <w:lvl w:ilvl="0" w:tentative="0">
      <w:start w:val="1"/>
      <w:numFmt w:val="decimal"/>
      <w:lvlText w:val="%1."/>
      <w:lvlJc w:val="left"/>
      <w:pPr>
        <w:tabs>
          <w:tab w:val="left" w:pos="312"/>
        </w:tabs>
      </w:pPr>
    </w:lvl>
  </w:abstractNum>
  <w:abstractNum w:abstractNumId="4">
    <w:nsid w:val="D564C85F"/>
    <w:multiLevelType w:val="multilevel"/>
    <w:tmpl w:val="D564C85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DEF24088"/>
    <w:multiLevelType w:val="singleLevel"/>
    <w:tmpl w:val="DEF24088"/>
    <w:lvl w:ilvl="0" w:tentative="0">
      <w:start w:val="1"/>
      <w:numFmt w:val="decimal"/>
      <w:lvlText w:val="%1."/>
      <w:lvlJc w:val="left"/>
      <w:pPr>
        <w:ind w:left="425" w:hanging="425"/>
      </w:pPr>
      <w:rPr>
        <w:rFonts w:hint="default"/>
      </w:rPr>
    </w:lvl>
  </w:abstractNum>
  <w:abstractNum w:abstractNumId="6">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7">
    <w:nsid w:val="F0FC8FD9"/>
    <w:multiLevelType w:val="multilevel"/>
    <w:tmpl w:val="F0FC8FD9"/>
    <w:lvl w:ilvl="0" w:tentative="0">
      <w:start w:val="1"/>
      <w:numFmt w:val="decimal"/>
      <w:lvlText w:val="%1."/>
      <w:lvlJc w:val="left"/>
      <w:pPr>
        <w:ind w:left="425" w:hanging="425"/>
      </w:pPr>
      <w:rPr>
        <w:rFonts w:hint="default"/>
      </w:rPr>
    </w:lvl>
    <w:lvl w:ilvl="1" w:tentative="0">
      <w:start w:val="4"/>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8">
    <w:nsid w:val="0C69D465"/>
    <w:multiLevelType w:val="singleLevel"/>
    <w:tmpl w:val="0C69D465"/>
    <w:lvl w:ilvl="0" w:tentative="0">
      <w:start w:val="1"/>
      <w:numFmt w:val="decimal"/>
      <w:lvlText w:val="(%1)"/>
      <w:lvlJc w:val="left"/>
      <w:pPr>
        <w:ind w:left="425" w:hanging="425"/>
      </w:pPr>
      <w:rPr>
        <w:rFonts w:hint="default"/>
      </w:rPr>
    </w:lvl>
  </w:abstractNum>
  <w:abstractNum w:abstractNumId="9">
    <w:nsid w:val="10F77700"/>
    <w:multiLevelType w:val="multilevel"/>
    <w:tmpl w:val="10F7770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CD5DE1"/>
    <w:multiLevelType w:val="multilevel"/>
    <w:tmpl w:val="13CD5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2">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3">
    <w:nsid w:val="46A61FC5"/>
    <w:multiLevelType w:val="multilevel"/>
    <w:tmpl w:val="46A61FC5"/>
    <w:lvl w:ilvl="0" w:tentative="0">
      <w:start w:val="1"/>
      <w:numFmt w:val="decimal"/>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5">
    <w:nsid w:val="6668BF69"/>
    <w:multiLevelType w:val="singleLevel"/>
    <w:tmpl w:val="6668BF69"/>
    <w:lvl w:ilvl="0" w:tentative="0">
      <w:start w:val="1"/>
      <w:numFmt w:val="decimal"/>
      <w:lvlText w:val="%1."/>
      <w:lvlJc w:val="left"/>
      <w:pPr>
        <w:ind w:left="425" w:hanging="425"/>
      </w:pPr>
      <w:rPr>
        <w:rFonts w:hint="default"/>
      </w:rPr>
    </w:lvl>
  </w:abstractNum>
  <w:abstractNum w:abstractNumId="16">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EF5E58"/>
    <w:multiLevelType w:val="singleLevel"/>
    <w:tmpl w:val="6FEF5E58"/>
    <w:lvl w:ilvl="0" w:tentative="0">
      <w:start w:val="1"/>
      <w:numFmt w:val="decimal"/>
      <w:lvlText w:val="%1."/>
      <w:lvlJc w:val="left"/>
      <w:pPr>
        <w:ind w:left="425" w:hanging="425"/>
      </w:pPr>
      <w:rPr>
        <w:rFonts w:hint="default"/>
      </w:rPr>
    </w:lvl>
  </w:abstractNum>
  <w:abstractNum w:abstractNumId="1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6"/>
  </w:num>
  <w:num w:numId="2">
    <w:abstractNumId w:val="12"/>
  </w:num>
  <w:num w:numId="3">
    <w:abstractNumId w:val="14"/>
  </w:num>
  <w:num w:numId="4">
    <w:abstractNumId w:val="8"/>
  </w:num>
  <w:num w:numId="5">
    <w:abstractNumId w:val="18"/>
  </w:num>
  <w:num w:numId="6">
    <w:abstractNumId w:val="10"/>
  </w:num>
  <w:num w:numId="7">
    <w:abstractNumId w:val="4"/>
  </w:num>
  <w:num w:numId="8">
    <w:abstractNumId w:val="9"/>
  </w:num>
  <w:num w:numId="9">
    <w:abstractNumId w:val="15"/>
  </w:num>
  <w:num w:numId="10">
    <w:abstractNumId w:val="5"/>
  </w:num>
  <w:num w:numId="11">
    <w:abstractNumId w:val="7"/>
  </w:num>
  <w:num w:numId="12">
    <w:abstractNumId w:val="2"/>
  </w:num>
  <w:num w:numId="13">
    <w:abstractNumId w:val="0"/>
  </w:num>
  <w:num w:numId="14">
    <w:abstractNumId w:val="3"/>
  </w:num>
  <w:num w:numId="15">
    <w:abstractNumId w:val="1"/>
  </w:num>
  <w:num w:numId="16">
    <w:abstractNumId w:val="16"/>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30EF160C"/>
    <w:rsid w:val="37547E2F"/>
    <w:rsid w:val="3AD0127C"/>
    <w:rsid w:val="56866FF4"/>
    <w:rsid w:val="5CED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7766</Words>
  <Characters>8252</Characters>
  <Lines>0</Lines>
  <Paragraphs>0</Paragraphs>
  <TotalTime>8</TotalTime>
  <ScaleCrop>false</ScaleCrop>
  <LinksUpToDate>false</LinksUpToDate>
  <CharactersWithSpaces>8494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2023-02-01T03:16:48Z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458626D67B3B47FBBC1232D4543C5235</vt:lpwstr>
  </property>
</Properties>
</file>