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8"/>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厂家/品牌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eastAsia"/>
          <w:b/>
          <w:bCs/>
          <w:color w:val="0000FF"/>
          <w:sz w:val="24"/>
        </w:rPr>
      </w:pP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500"/>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restart"/>
            <w:vAlign w:val="top"/>
          </w:tcPr>
          <w:p>
            <w:pPr>
              <w:spacing w:line="360" w:lineRule="auto"/>
              <w:jc w:val="center"/>
              <w:rPr>
                <w:rFonts w:hint="eastAsia" w:eastAsia="宋体"/>
                <w:sz w:val="24"/>
                <w:szCs w:val="24"/>
                <w:lang w:val="en-US" w:eastAsia="zh-CN"/>
              </w:rPr>
            </w:pPr>
            <w:r>
              <w:rPr>
                <w:rFonts w:hint="eastAsia"/>
                <w:sz w:val="24"/>
                <w:szCs w:val="24"/>
                <w:lang w:val="en-US" w:eastAsia="zh-CN"/>
              </w:rPr>
              <w:t>1</w:t>
            </w:r>
          </w:p>
        </w:tc>
        <w:tc>
          <w:tcPr>
            <w:tcW w:w="2500" w:type="dxa"/>
            <w:vAlign w:val="top"/>
          </w:tcPr>
          <w:p>
            <w:pPr>
              <w:spacing w:line="360" w:lineRule="auto"/>
              <w:jc w:val="left"/>
              <w:rPr>
                <w:rFonts w:hint="eastAsia"/>
                <w:sz w:val="24"/>
                <w:szCs w:val="24"/>
              </w:rPr>
            </w:pPr>
            <w:r>
              <w:rPr>
                <w:rFonts w:hint="eastAsia"/>
                <w:sz w:val="24"/>
                <w:szCs w:val="24"/>
              </w:rPr>
              <w:t>产品名称</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sz w:val="24"/>
                <w:szCs w:val="24"/>
              </w:rPr>
            </w:pPr>
          </w:p>
        </w:tc>
        <w:tc>
          <w:tcPr>
            <w:tcW w:w="2500" w:type="dxa"/>
            <w:vAlign w:val="top"/>
          </w:tcPr>
          <w:p>
            <w:pPr>
              <w:spacing w:line="360" w:lineRule="auto"/>
              <w:jc w:val="left"/>
              <w:rPr>
                <w:sz w:val="24"/>
                <w:szCs w:val="24"/>
              </w:rPr>
            </w:pPr>
            <w:r>
              <w:rPr>
                <w:rFonts w:hint="eastAsia"/>
                <w:sz w:val="24"/>
                <w:szCs w:val="24"/>
              </w:rPr>
              <w:t>规格型号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lang w:val="en-US" w:eastAsia="zh-CN"/>
              </w:rPr>
            </w:pPr>
            <w:r>
              <w:rPr>
                <w:rFonts w:hint="eastAsia"/>
                <w:sz w:val="24"/>
                <w:szCs w:val="24"/>
                <w:lang w:val="en-US" w:eastAsia="zh-CN"/>
              </w:rPr>
              <w:t>注册证号</w:t>
            </w:r>
          </w:p>
          <w:p>
            <w:pPr>
              <w:spacing w:line="360" w:lineRule="auto"/>
              <w:jc w:val="left"/>
              <w:rPr>
                <w:rFonts w:hint="default"/>
                <w:sz w:val="24"/>
                <w:szCs w:val="24"/>
                <w:lang w:val="en-US" w:eastAsia="zh-CN"/>
              </w:rPr>
            </w:pP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药交ID</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国家医保耗材代码</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省平台联盟区限价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default" w:eastAsia="宋体"/>
                <w:sz w:val="24"/>
                <w:szCs w:val="24"/>
                <w:lang w:val="en-US" w:eastAsia="zh-CN"/>
              </w:rPr>
            </w:pPr>
            <w:r>
              <w:rPr>
                <w:rFonts w:hint="eastAsia"/>
                <w:sz w:val="24"/>
                <w:szCs w:val="24"/>
                <w:lang w:val="en-US" w:eastAsia="zh-CN"/>
              </w:rPr>
              <w:t>报价（元）</w:t>
            </w:r>
          </w:p>
        </w:tc>
        <w:tc>
          <w:tcPr>
            <w:tcW w:w="4275" w:type="dxa"/>
            <w:vAlign w:val="top"/>
          </w:tcPr>
          <w:p>
            <w:pPr>
              <w:spacing w:line="360" w:lineRule="auto"/>
              <w:jc w:val="left"/>
              <w:rPr>
                <w:rFonts w:hint="default" w:eastAsia="宋体"/>
                <w:sz w:val="24"/>
                <w:szCs w:val="24"/>
                <w:lang w:val="en-US" w:eastAsia="zh-CN"/>
              </w:rPr>
            </w:pPr>
            <w:r>
              <w:rPr>
                <w:rFonts w:hint="eastAsia"/>
                <w:color w:val="0000FF"/>
                <w:sz w:val="21"/>
                <w:szCs w:val="21"/>
                <w:lang w:val="en-US" w:eastAsia="zh-CN"/>
              </w:rPr>
              <w:t>报价不可高于</w:t>
            </w:r>
            <w:r>
              <w:rPr>
                <w:rFonts w:hint="eastAsia"/>
                <w:color w:val="0000FF"/>
                <w:sz w:val="21"/>
                <w:szCs w:val="21"/>
              </w:rPr>
              <w:t>省平台联盟区限价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restart"/>
            <w:vAlign w:val="top"/>
          </w:tcPr>
          <w:p>
            <w:pPr>
              <w:spacing w:line="360" w:lineRule="auto"/>
              <w:jc w:val="center"/>
              <w:rPr>
                <w:rFonts w:hint="eastAsia" w:eastAsia="宋体"/>
                <w:sz w:val="24"/>
                <w:szCs w:val="24"/>
                <w:lang w:val="en-US" w:eastAsia="zh-CN"/>
              </w:rPr>
            </w:pPr>
            <w:r>
              <w:rPr>
                <w:rFonts w:hint="eastAsia"/>
                <w:sz w:val="24"/>
                <w:szCs w:val="24"/>
                <w:lang w:val="en-US" w:eastAsia="zh-CN"/>
              </w:rPr>
              <w:t>2</w:t>
            </w:r>
          </w:p>
        </w:tc>
        <w:tc>
          <w:tcPr>
            <w:tcW w:w="2500" w:type="dxa"/>
            <w:vAlign w:val="top"/>
          </w:tcPr>
          <w:p>
            <w:pPr>
              <w:spacing w:line="360" w:lineRule="auto"/>
              <w:jc w:val="left"/>
              <w:rPr>
                <w:rFonts w:hint="eastAsia"/>
                <w:sz w:val="24"/>
                <w:szCs w:val="24"/>
              </w:rPr>
            </w:pPr>
            <w:r>
              <w:rPr>
                <w:rFonts w:hint="eastAsia"/>
                <w:sz w:val="24"/>
                <w:szCs w:val="24"/>
              </w:rPr>
              <w:t>产品名称</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规格型号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lang w:val="en-US" w:eastAsia="zh-CN"/>
              </w:rPr>
            </w:pPr>
            <w:r>
              <w:rPr>
                <w:rFonts w:hint="eastAsia"/>
                <w:sz w:val="24"/>
                <w:szCs w:val="24"/>
                <w:lang w:val="en-US" w:eastAsia="zh-CN"/>
              </w:rPr>
              <w:t>注册证号</w:t>
            </w:r>
          </w:p>
          <w:p>
            <w:pPr>
              <w:spacing w:line="360" w:lineRule="auto"/>
              <w:jc w:val="left"/>
              <w:rPr>
                <w:rFonts w:hint="eastAsia"/>
                <w:sz w:val="24"/>
                <w:szCs w:val="24"/>
              </w:rPr>
            </w:pP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药交ID</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国家医保耗材代码</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省平台联盟区限价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lang w:val="en-US" w:eastAsia="zh-CN"/>
              </w:rPr>
              <w:t>报价（元）</w:t>
            </w:r>
          </w:p>
        </w:tc>
        <w:tc>
          <w:tcPr>
            <w:tcW w:w="4275" w:type="dxa"/>
            <w:vAlign w:val="top"/>
          </w:tcPr>
          <w:p>
            <w:pPr>
              <w:spacing w:line="360" w:lineRule="auto"/>
              <w:jc w:val="left"/>
              <w:rPr>
                <w:rFonts w:hint="eastAsia"/>
                <w:sz w:val="24"/>
                <w:szCs w:val="24"/>
              </w:rPr>
            </w:pPr>
            <w:r>
              <w:rPr>
                <w:rFonts w:hint="eastAsia"/>
                <w:color w:val="0000FF"/>
                <w:sz w:val="21"/>
                <w:szCs w:val="21"/>
                <w:lang w:val="en-US" w:eastAsia="zh-CN"/>
              </w:rPr>
              <w:t>报价不可高于</w:t>
            </w:r>
            <w:r>
              <w:rPr>
                <w:rFonts w:hint="eastAsia"/>
                <w:color w:val="0000FF"/>
                <w:sz w:val="21"/>
                <w:szCs w:val="21"/>
              </w:rPr>
              <w:t>省平台联盟区限价</w:t>
            </w:r>
          </w:p>
        </w:tc>
      </w:tr>
    </w:tbl>
    <w:p>
      <w:pPr>
        <w:jc w:val="left"/>
        <w:rPr>
          <w:rFonts w:hint="eastAsia"/>
          <w:sz w:val="21"/>
          <w:szCs w:val="21"/>
          <w:lang w:val="en-US" w:eastAsia="zh-CN"/>
        </w:rPr>
      </w:pPr>
      <w:r>
        <w:rPr>
          <w:rFonts w:hint="eastAsia"/>
          <w:sz w:val="21"/>
          <w:szCs w:val="21"/>
          <w:lang w:val="en-US" w:eastAsia="zh-CN"/>
        </w:rPr>
        <w:t>请按广东省药品电子交易平台填写以下信息：</w:t>
      </w:r>
    </w:p>
    <w:p>
      <w:pPr>
        <w:jc w:val="left"/>
        <w:rPr>
          <w:rFonts w:hint="eastAsia"/>
          <w:sz w:val="21"/>
          <w:szCs w:val="21"/>
          <w:lang w:val="en-US" w:eastAsia="zh-CN"/>
        </w:rPr>
      </w:pPr>
    </w:p>
    <w:p>
      <w:pPr>
        <w:jc w:val="left"/>
        <w:rPr>
          <w:rFonts w:hint="default"/>
          <w:sz w:val="21"/>
          <w:szCs w:val="21"/>
          <w:lang w:val="en-US" w:eastAsia="zh-CN"/>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7"/>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7"/>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themeColor="text1"/>
          <w:kern w:val="28"/>
          <w:sz w:val="44"/>
          <w:szCs w:val="36"/>
          <w:highlight w:val="none"/>
        </w:rPr>
      </w:pPr>
      <w:r>
        <w:rPr>
          <w:rFonts w:hint="eastAsia" w:ascii="宋体" w:hAnsi="宋体"/>
          <w:b/>
          <w:color w:val="000000" w:themeColor="text1"/>
          <w:kern w:val="28"/>
          <w:sz w:val="44"/>
          <w:szCs w:val="36"/>
          <w:highlight w:val="none"/>
        </w:rPr>
        <w:t>采购</w:t>
      </w:r>
      <w:r>
        <w:rPr>
          <w:rFonts w:ascii="宋体" w:hAnsi="宋体"/>
          <w:b/>
          <w:color w:val="000000" w:themeColor="text1"/>
          <w:kern w:val="28"/>
          <w:sz w:val="44"/>
          <w:szCs w:val="36"/>
          <w:highlight w:val="none"/>
        </w:rPr>
        <w:t>需求书</w:t>
      </w:r>
    </w:p>
    <w:p>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总则：</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3.本项目不接受联合体、中标供应商不得以任何方式转包本项目。</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5.</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投标供应商应该符合</w:t>
      </w:r>
      <w:r>
        <w:rPr>
          <w:rFonts w:hint="eastAsia" w:ascii="仿宋" w:hAnsi="仿宋" w:eastAsia="仿宋" w:cs="仿宋"/>
          <w:color w:val="000000" w:themeColor="text1"/>
          <w:sz w:val="24"/>
          <w:highlight w:val="none"/>
        </w:rPr>
        <w:t>《医疗器械监督管理条例》规定</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如投标供应商为生产厂家，还应该符合</w:t>
      </w:r>
      <w:r>
        <w:rPr>
          <w:rFonts w:hint="eastAsia" w:ascii="仿宋" w:hAnsi="仿宋" w:eastAsia="仿宋" w:cs="仿宋"/>
          <w:color w:val="000000" w:themeColor="text1"/>
          <w:sz w:val="24"/>
          <w:highlight w:val="none"/>
        </w:rPr>
        <w:t>《医疗器械</w:t>
      </w:r>
      <w:r>
        <w:rPr>
          <w:rFonts w:hint="eastAsia" w:ascii="仿宋" w:hAnsi="仿宋" w:eastAsia="仿宋" w:cs="仿宋"/>
          <w:color w:val="000000" w:themeColor="text1"/>
          <w:sz w:val="24"/>
          <w:highlight w:val="none"/>
          <w:lang w:val="en-US" w:eastAsia="zh-CN"/>
        </w:rPr>
        <w:t>生产</w:t>
      </w:r>
      <w:r>
        <w:rPr>
          <w:rFonts w:hint="eastAsia" w:ascii="仿宋" w:hAnsi="仿宋" w:eastAsia="仿宋" w:cs="仿宋"/>
          <w:color w:val="000000" w:themeColor="text1"/>
          <w:sz w:val="24"/>
          <w:highlight w:val="none"/>
        </w:rPr>
        <w:t>质量管理规范》</w:t>
      </w:r>
      <w:r>
        <w:rPr>
          <w:rFonts w:hint="eastAsia" w:ascii="仿宋" w:hAnsi="仿宋" w:eastAsia="仿宋" w:cs="仿宋"/>
          <w:color w:val="000000" w:themeColor="text1"/>
          <w:sz w:val="24"/>
          <w:highlight w:val="none"/>
          <w:lang w:val="en-US" w:eastAsia="zh-CN"/>
        </w:rPr>
        <w:t>规定，如投标供应商为还应符合</w:t>
      </w:r>
      <w:r>
        <w:rPr>
          <w:rFonts w:hint="eastAsia" w:ascii="仿宋" w:hAnsi="仿宋" w:eastAsia="仿宋" w:cs="仿宋"/>
          <w:color w:val="000000" w:themeColor="text1"/>
          <w:sz w:val="24"/>
          <w:highlight w:val="none"/>
        </w:rPr>
        <w:t>《医疗器械经营质量管理规范》</w:t>
      </w:r>
      <w:r>
        <w:rPr>
          <w:rFonts w:hint="eastAsia" w:ascii="仿宋" w:hAnsi="仿宋" w:eastAsia="仿宋" w:cs="仿宋"/>
          <w:color w:val="000000" w:themeColor="text1"/>
          <w:sz w:val="24"/>
          <w:highlight w:val="none"/>
          <w:lang w:val="en-US" w:eastAsia="zh-CN"/>
        </w:rPr>
        <w:t>规定，</w:t>
      </w:r>
      <w:r>
        <w:rPr>
          <w:rFonts w:hint="eastAsia" w:ascii="仿宋" w:hAnsi="仿宋" w:eastAsia="仿宋" w:cs="仿宋"/>
          <w:color w:val="000000" w:themeColor="text1"/>
          <w:sz w:val="24"/>
          <w:highlight w:val="none"/>
        </w:rPr>
        <w:t>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基本需求</w:t>
      </w:r>
    </w:p>
    <w:tbl>
      <w:tblPr>
        <w:tblStyle w:val="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项目名称</w:t>
            </w:r>
          </w:p>
        </w:tc>
        <w:tc>
          <w:tcPr>
            <w:tcW w:w="2268" w:type="dxa"/>
          </w:tcPr>
          <w:p>
            <w:pPr>
              <w:spacing w:line="440" w:lineRule="exact"/>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需求科室/部门</w:t>
            </w:r>
          </w:p>
        </w:tc>
        <w:tc>
          <w:tcPr>
            <w:tcW w:w="2508" w:type="dxa"/>
          </w:tcPr>
          <w:p>
            <w:pPr>
              <w:spacing w:line="440" w:lineRule="exact"/>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ascii="宋体" w:hAnsi="宋体" w:eastAsiaTheme="minorEastAsia" w:cstheme="minorBidi"/>
                <w:color w:val="000000" w:themeColor="text1"/>
                <w:kern w:val="2"/>
                <w:sz w:val="21"/>
                <w:szCs w:val="21"/>
                <w:highlight w:val="none"/>
                <w:lang w:val="en-US" w:eastAsia="zh-CN" w:bidi="ar-SA"/>
              </w:rPr>
            </w:pPr>
            <w:r>
              <w:rPr>
                <w:rFonts w:hint="eastAsia" w:ascii="宋体" w:hAnsi="宋体"/>
                <w:color w:val="000000" w:themeColor="text1"/>
                <w:szCs w:val="21"/>
                <w:highlight w:val="none"/>
              </w:rPr>
              <w:t>液体治疗工作站</w:t>
            </w:r>
          </w:p>
        </w:tc>
        <w:tc>
          <w:tcPr>
            <w:tcW w:w="2268" w:type="dxa"/>
            <w:vAlign w:val="top"/>
          </w:tcPr>
          <w:p>
            <w:pPr>
              <w:spacing w:line="440" w:lineRule="exact"/>
              <w:jc w:val="center"/>
              <w:rPr>
                <w:rFonts w:ascii="宋体" w:hAnsi="宋体" w:eastAsiaTheme="minorEastAsia" w:cstheme="minorBidi"/>
                <w:color w:val="000000" w:themeColor="text1"/>
                <w:kern w:val="2"/>
                <w:sz w:val="21"/>
                <w:szCs w:val="21"/>
                <w:highlight w:val="none"/>
                <w:lang w:val="en-US" w:eastAsia="zh-CN" w:bidi="ar-SA"/>
              </w:rPr>
            </w:pPr>
            <w:r>
              <w:rPr>
                <w:rFonts w:hint="eastAsia" w:ascii="宋体" w:hAnsi="宋体"/>
                <w:color w:val="000000" w:themeColor="text1"/>
                <w:szCs w:val="21"/>
                <w:highlight w:val="none"/>
              </w:rPr>
              <w:t>重症医学科</w:t>
            </w:r>
          </w:p>
        </w:tc>
        <w:tc>
          <w:tcPr>
            <w:tcW w:w="2508" w:type="dxa"/>
            <w:vAlign w:val="top"/>
          </w:tcPr>
          <w:p>
            <w:pPr>
              <w:spacing w:line="440" w:lineRule="exact"/>
              <w:jc w:val="center"/>
              <w:rPr>
                <w:rFonts w:hint="eastAsia" w:ascii="宋体" w:hAnsi="宋体" w:eastAsiaTheme="minorEastAsia" w:cstheme="minorBidi"/>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8</w:t>
            </w:r>
          </w:p>
        </w:tc>
      </w:tr>
    </w:tbl>
    <w:p>
      <w:pPr>
        <w:spacing w:line="440" w:lineRule="exact"/>
        <w:rPr>
          <w:rFonts w:ascii="宋体" w:hAnsi="宋体"/>
          <w:color w:val="000000" w:themeColor="text1"/>
          <w:szCs w:val="21"/>
          <w:highlight w:val="none"/>
        </w:rPr>
      </w:pPr>
      <w:r>
        <w:rPr>
          <w:rFonts w:hint="eastAsia" w:ascii="宋体" w:hAnsi="宋体"/>
          <w:b/>
          <w:color w:val="000000" w:themeColor="text1"/>
          <w:szCs w:val="21"/>
          <w:highlight w:val="none"/>
        </w:rPr>
        <w:t>核心产品：</w:t>
      </w:r>
      <w:r>
        <w:rPr>
          <w:rFonts w:hint="eastAsia" w:ascii="宋体" w:hAnsi="宋体"/>
          <w:color w:val="000000" w:themeColor="text1"/>
          <w:szCs w:val="21"/>
          <w:highlight w:val="none"/>
        </w:rPr>
        <w:t>液体治疗工作站</w:t>
      </w:r>
    </w:p>
    <w:p>
      <w:pPr>
        <w:spacing w:line="440" w:lineRule="exact"/>
        <w:rPr>
          <w:rFonts w:ascii="宋体" w:hAnsi="宋体"/>
          <w:color w:val="000000" w:themeColor="text1"/>
          <w:szCs w:val="21"/>
          <w:highlight w:val="none"/>
        </w:rPr>
      </w:pPr>
      <w:r>
        <w:rPr>
          <w:rFonts w:hint="eastAsia" w:ascii="宋体" w:hAnsi="宋体"/>
          <w:b/>
          <w:color w:val="000000" w:themeColor="text1"/>
          <w:szCs w:val="21"/>
          <w:highlight w:val="none"/>
        </w:rPr>
        <w:t>用途：</w:t>
      </w:r>
      <w:r>
        <w:rPr>
          <w:rFonts w:hint="eastAsia" w:ascii="宋体" w:hAnsi="宋体"/>
          <w:color w:val="000000" w:themeColor="text1"/>
          <w:szCs w:val="21"/>
          <w:highlight w:val="none"/>
        </w:rPr>
        <w:t>液体治疗工作站通过自动、准确地控制各种药物的治疗剂量和速度，实现精准、滴定式的液体治疗，确保重症患者液体治疗的有效性、精准性、稳定性和安全性。</w:t>
      </w:r>
    </w:p>
    <w:p>
      <w:pPr>
        <w:numPr>
          <w:ilvl w:val="0"/>
          <w:numId w:val="4"/>
        </w:numPr>
        <w:spacing w:line="440" w:lineRule="exact"/>
        <w:rPr>
          <w:rFonts w:ascii="宋体" w:hAnsi="宋体"/>
          <w:b/>
          <w:color w:val="000000" w:themeColor="text1"/>
          <w:sz w:val="28"/>
          <w:szCs w:val="28"/>
          <w:highlight w:val="none"/>
        </w:rPr>
      </w:pPr>
      <w:r>
        <w:rPr>
          <w:rFonts w:hint="eastAsia" w:ascii="宋体" w:hAnsi="宋体"/>
          <w:b/>
          <w:color w:val="000000" w:themeColor="text1"/>
          <w:sz w:val="28"/>
          <w:szCs w:val="28"/>
          <w:highlight w:val="none"/>
        </w:rPr>
        <w:t>技术参数：</w:t>
      </w:r>
    </w:p>
    <w:p>
      <w:pPr>
        <w:autoSpaceDE w:val="0"/>
        <w:autoSpaceDN w:val="0"/>
        <w:spacing w:line="360" w:lineRule="auto"/>
        <w:rPr>
          <w:rFonts w:ascii="宋体" w:hAnsi="宋体"/>
          <w:b/>
          <w:highlight w:val="none"/>
          <w:lang w:val="zh-CN"/>
        </w:rPr>
      </w:pPr>
      <w:r>
        <w:rPr>
          <w:rFonts w:hint="eastAsia" w:ascii="宋体" w:hAnsi="宋体"/>
          <w:b/>
          <w:highlight w:val="none"/>
          <w:lang w:val="zh-CN"/>
        </w:rPr>
        <w:t>1.工作站系统要求：</w:t>
      </w:r>
    </w:p>
    <w:p>
      <w:pPr>
        <w:pStyle w:val="10"/>
        <w:numPr>
          <w:ilvl w:val="1"/>
          <w:numId w:val="5"/>
        </w:numPr>
        <w:autoSpaceDE w:val="0"/>
        <w:autoSpaceDN w:val="0"/>
        <w:spacing w:line="360" w:lineRule="auto"/>
        <w:ind w:left="284" w:firstLine="142" w:firstLineChars="0"/>
        <w:rPr>
          <w:rFonts w:ascii="宋体" w:hAnsi="宋体"/>
          <w:b/>
          <w:highlight w:val="none"/>
          <w:lang w:val="zh-CN"/>
        </w:rPr>
      </w:pPr>
      <w:r>
        <w:rPr>
          <w:rFonts w:hint="eastAsia" w:ascii="宋体" w:hAnsi="宋体"/>
          <w:color w:val="000000" w:themeColor="text1"/>
          <w:szCs w:val="21"/>
          <w:highlight w:val="none"/>
        </w:rPr>
        <w:t>▲</w:t>
      </w:r>
      <w:r>
        <w:rPr>
          <w:rFonts w:hint="eastAsia" w:ascii="宋体" w:hAnsi="宋体"/>
          <w:highlight w:val="none"/>
          <w:lang w:val="zh-CN"/>
        </w:rPr>
        <w:t>每套液体工作站均配置4泵系统（3台注射泵+1台输液泵），注射泵及输液泵的数量及位置可根据需要调整，并可进一步扩展，输液泵模块和注射泵模块在同一界面进行操作。</w:t>
      </w:r>
    </w:p>
    <w:p>
      <w:pPr>
        <w:pStyle w:val="10"/>
        <w:numPr>
          <w:ilvl w:val="1"/>
          <w:numId w:val="5"/>
        </w:numPr>
        <w:autoSpaceDE w:val="0"/>
        <w:autoSpaceDN w:val="0"/>
        <w:spacing w:line="360" w:lineRule="auto"/>
        <w:ind w:left="284" w:firstLine="142" w:firstLineChars="0"/>
        <w:rPr>
          <w:rFonts w:ascii="宋体" w:hAnsi="宋体"/>
          <w:b/>
          <w:highlight w:val="none"/>
          <w:lang w:val="zh-CN"/>
        </w:rPr>
      </w:pPr>
      <w:r>
        <w:rPr>
          <w:rFonts w:hint="eastAsia" w:ascii="宋体" w:hAnsi="宋体"/>
          <w:highlight w:val="none"/>
          <w:lang w:val="zh-CN"/>
        </w:rPr>
        <w:t>每台工作站上各类型泵支持自由插拔原则（即在不关闭工作站总电源状态下随时插拔、转移至其他工作站以及单泵使用），互相不影响他泵正常工作。</w:t>
      </w:r>
    </w:p>
    <w:p>
      <w:pPr>
        <w:pStyle w:val="10"/>
        <w:numPr>
          <w:ilvl w:val="1"/>
          <w:numId w:val="5"/>
        </w:numPr>
        <w:autoSpaceDE w:val="0"/>
        <w:autoSpaceDN w:val="0"/>
        <w:spacing w:line="360" w:lineRule="auto"/>
        <w:ind w:left="284" w:firstLine="142" w:firstLineChars="0"/>
        <w:rPr>
          <w:rFonts w:ascii="宋体" w:hAnsi="宋体"/>
          <w:b/>
          <w:highlight w:val="none"/>
          <w:lang w:val="zh-CN"/>
        </w:rPr>
      </w:pPr>
      <w:r>
        <w:rPr>
          <w:rFonts w:hint="eastAsia" w:ascii="宋体" w:hAnsi="宋体"/>
          <w:highlight w:val="none"/>
          <w:lang w:val="zh-CN"/>
        </w:rPr>
        <w:t>具备除颤防护，安全防护可靠，CF II级；在急救中共同使用不会相互影响。防潮，IP22；滴液防护。</w:t>
      </w:r>
    </w:p>
    <w:p>
      <w:pPr>
        <w:pStyle w:val="10"/>
        <w:numPr>
          <w:ilvl w:val="1"/>
          <w:numId w:val="5"/>
        </w:numPr>
        <w:autoSpaceDE w:val="0"/>
        <w:autoSpaceDN w:val="0"/>
        <w:spacing w:line="360" w:lineRule="auto"/>
        <w:ind w:left="284" w:firstLine="142" w:firstLineChars="0"/>
        <w:rPr>
          <w:rFonts w:ascii="宋体" w:hAnsi="宋体"/>
          <w:b/>
          <w:highlight w:val="none"/>
          <w:lang w:val="zh-CN"/>
        </w:rPr>
      </w:pPr>
      <w:r>
        <w:rPr>
          <w:rFonts w:hint="eastAsia" w:ascii="宋体" w:hAnsi="宋体"/>
          <w:color w:val="000000" w:themeColor="text1"/>
          <w:szCs w:val="21"/>
          <w:highlight w:val="none"/>
        </w:rPr>
        <w:t>▲</w:t>
      </w:r>
      <w:r>
        <w:rPr>
          <w:rFonts w:hint="eastAsia" w:ascii="宋体" w:hAnsi="宋体"/>
          <w:highlight w:val="none"/>
          <w:lang w:val="zh-CN"/>
        </w:rPr>
        <w:t>工作站电源：每工作台系统只需一根电源线集中供电。可采用交直流两用电源，外部电源：</w:t>
      </w:r>
      <w:r>
        <w:rPr>
          <w:rFonts w:ascii="宋体" w:hAnsi="宋体"/>
          <w:highlight w:val="none"/>
          <w:lang w:val="zh-CN"/>
        </w:rPr>
        <w:t>100V</w:t>
      </w:r>
      <w:r>
        <w:rPr>
          <w:rFonts w:hint="eastAsia" w:ascii="宋体" w:hAnsi="宋体"/>
          <w:highlight w:val="none"/>
          <w:lang w:val="zh-CN"/>
        </w:rPr>
        <w:t>-</w:t>
      </w:r>
      <w:r>
        <w:rPr>
          <w:rFonts w:ascii="宋体" w:hAnsi="宋体"/>
          <w:highlight w:val="none"/>
          <w:lang w:val="zh-CN"/>
        </w:rPr>
        <w:t>240V</w:t>
      </w:r>
      <w:r>
        <w:rPr>
          <w:rFonts w:hint="eastAsia" w:ascii="宋体" w:hAnsi="宋体"/>
          <w:highlight w:val="none"/>
          <w:lang w:val="zh-CN"/>
        </w:rPr>
        <w:t>，</w:t>
      </w:r>
      <w:r>
        <w:rPr>
          <w:rFonts w:ascii="宋体" w:hAnsi="宋体"/>
          <w:highlight w:val="none"/>
          <w:lang w:val="zh-CN"/>
        </w:rPr>
        <w:t>50/60Hz</w:t>
      </w:r>
      <w:r>
        <w:rPr>
          <w:rFonts w:hint="eastAsia" w:ascii="宋体" w:hAnsi="宋体"/>
          <w:highlight w:val="none"/>
          <w:lang w:val="zh-CN"/>
        </w:rPr>
        <w:t>；次级电源：组架运行电源为</w:t>
      </w:r>
      <w:r>
        <w:rPr>
          <w:rFonts w:ascii="宋体" w:hAnsi="宋体"/>
          <w:highlight w:val="none"/>
          <w:lang w:val="zh-CN"/>
        </w:rPr>
        <w:t>12V</w:t>
      </w:r>
      <w:r>
        <w:rPr>
          <w:rFonts w:hint="eastAsia" w:ascii="宋体" w:hAnsi="宋体"/>
          <w:highlight w:val="none"/>
          <w:lang w:val="zh-CN"/>
        </w:rPr>
        <w:t>直流</w:t>
      </w:r>
      <w:r>
        <w:rPr>
          <w:rFonts w:ascii="宋体" w:hAnsi="宋体"/>
          <w:highlight w:val="none"/>
          <w:lang w:val="zh-CN"/>
        </w:rPr>
        <w:t>/35W</w:t>
      </w:r>
      <w:r>
        <w:rPr>
          <w:rFonts w:hint="eastAsia" w:ascii="宋体" w:hAnsi="宋体"/>
          <w:highlight w:val="none"/>
          <w:lang w:val="zh-CN"/>
        </w:rPr>
        <w:t>（可使用救护车</w:t>
      </w:r>
      <w:r>
        <w:rPr>
          <w:rFonts w:ascii="宋体" w:hAnsi="宋体"/>
          <w:highlight w:val="none"/>
          <w:lang w:val="zh-CN"/>
        </w:rPr>
        <w:t>/</w:t>
      </w:r>
      <w:r>
        <w:rPr>
          <w:rFonts w:hint="eastAsia" w:ascii="宋体" w:hAnsi="宋体"/>
          <w:highlight w:val="none"/>
          <w:lang w:val="zh-CN"/>
        </w:rPr>
        <w:t>直升机的车载电源）。配备蓄电池：蓄电池可与输注泵的电池互换使用，外部电源断电后可自动切换到组架上的蓄电池供电，蓄电池供电时间≥</w:t>
      </w:r>
      <w:r>
        <w:rPr>
          <w:rFonts w:ascii="宋体" w:hAnsi="宋体"/>
          <w:highlight w:val="none"/>
          <w:lang w:val="zh-CN"/>
        </w:rPr>
        <w:t>1</w:t>
      </w:r>
      <w:r>
        <w:rPr>
          <w:rFonts w:hint="eastAsia" w:ascii="宋体" w:hAnsi="宋体"/>
          <w:highlight w:val="none"/>
          <w:lang w:val="zh-CN"/>
        </w:rPr>
        <w:t>小时。</w:t>
      </w:r>
    </w:p>
    <w:p>
      <w:pPr>
        <w:pStyle w:val="10"/>
        <w:numPr>
          <w:ilvl w:val="1"/>
          <w:numId w:val="5"/>
        </w:numPr>
        <w:autoSpaceDE w:val="0"/>
        <w:autoSpaceDN w:val="0"/>
        <w:spacing w:line="360" w:lineRule="auto"/>
        <w:ind w:left="284" w:firstLine="142" w:firstLineChars="0"/>
        <w:rPr>
          <w:rFonts w:ascii="宋体" w:hAnsi="宋体"/>
          <w:b/>
          <w:highlight w:val="none"/>
          <w:lang w:val="zh-CN"/>
        </w:rPr>
      </w:pPr>
      <w:r>
        <w:rPr>
          <w:rFonts w:hint="eastAsia" w:ascii="宋体" w:hAnsi="宋体"/>
          <w:highlight w:val="none"/>
        </w:rPr>
        <w:t>报警：工作站具有声、光及明确的闪动符号报警功能。</w:t>
      </w:r>
    </w:p>
    <w:p>
      <w:pPr>
        <w:pStyle w:val="10"/>
        <w:numPr>
          <w:ilvl w:val="1"/>
          <w:numId w:val="5"/>
        </w:numPr>
        <w:autoSpaceDE w:val="0"/>
        <w:autoSpaceDN w:val="0"/>
        <w:spacing w:line="360" w:lineRule="auto"/>
        <w:ind w:left="284" w:firstLine="142" w:firstLineChars="0"/>
        <w:rPr>
          <w:rFonts w:ascii="宋体" w:hAnsi="宋体"/>
          <w:b/>
          <w:highlight w:val="none"/>
          <w:lang w:val="zh-CN"/>
        </w:rPr>
      </w:pPr>
      <w:r>
        <w:rPr>
          <w:rFonts w:hint="eastAsia" w:ascii="宋体" w:hAnsi="宋体"/>
          <w:highlight w:val="none"/>
          <w:lang w:val="zh-CN"/>
        </w:rPr>
        <w:t>工作站小巧，整个组架≤5公斤,可固定在吊塔上(或输液架上)，又可固定在床旁横栏。安装固定快捷简单，无需任何工具即可快</w:t>
      </w:r>
      <w:r>
        <w:rPr>
          <w:rFonts w:hint="eastAsia" w:ascii="宋体" w:hAnsi="宋体"/>
          <w:highlight w:val="none"/>
        </w:rPr>
        <w:t>速增加输注模块及输液站单元。</w:t>
      </w:r>
    </w:p>
    <w:p>
      <w:pPr>
        <w:autoSpaceDE w:val="0"/>
        <w:autoSpaceDN w:val="0"/>
        <w:spacing w:line="360" w:lineRule="auto"/>
        <w:rPr>
          <w:rFonts w:ascii="宋体" w:hAnsi="宋体"/>
          <w:b/>
          <w:highlight w:val="none"/>
          <w:lang w:val="zh-CN"/>
        </w:rPr>
      </w:pPr>
      <w:r>
        <w:rPr>
          <w:rFonts w:hint="eastAsia" w:ascii="宋体" w:hAnsi="宋体"/>
          <w:b/>
          <w:highlight w:val="none"/>
          <w:lang w:val="zh-CN"/>
        </w:rPr>
        <w:t>2.注射泵技术参数：</w:t>
      </w:r>
    </w:p>
    <w:p>
      <w:pPr>
        <w:autoSpaceDE w:val="0"/>
        <w:autoSpaceDN w:val="0"/>
        <w:spacing w:line="360" w:lineRule="auto"/>
        <w:ind w:left="237" w:leftChars="113" w:firstLine="210" w:firstLineChars="100"/>
        <w:rPr>
          <w:rFonts w:ascii="宋体" w:hAnsi="宋体"/>
          <w:highlight w:val="none"/>
          <w:lang w:val="zh-CN"/>
        </w:rPr>
      </w:pPr>
      <w:r>
        <w:rPr>
          <w:rFonts w:hint="eastAsia" w:ascii="宋体" w:hAnsi="宋体"/>
          <w:color w:val="000000" w:themeColor="text1"/>
          <w:szCs w:val="21"/>
          <w:highlight w:val="none"/>
        </w:rPr>
        <w:t>▲</w:t>
      </w:r>
      <w:r>
        <w:rPr>
          <w:rFonts w:hint="eastAsia" w:ascii="宋体" w:hAnsi="宋体"/>
          <w:highlight w:val="none"/>
          <w:lang w:val="zh-CN"/>
        </w:rPr>
        <w:t>2.1 控制精确度 ≤±2.5％。</w:t>
      </w:r>
    </w:p>
    <w:p>
      <w:pPr>
        <w:autoSpaceDE w:val="0"/>
        <w:autoSpaceDN w:val="0"/>
        <w:spacing w:line="360" w:lineRule="auto"/>
        <w:ind w:left="237" w:leftChars="113" w:firstLine="210" w:firstLineChars="100"/>
        <w:rPr>
          <w:rFonts w:ascii="宋体" w:hAnsi="宋体"/>
          <w:highlight w:val="none"/>
          <w:lang w:val="zh-CN"/>
        </w:rPr>
      </w:pPr>
      <w:r>
        <w:rPr>
          <w:rFonts w:hint="eastAsia" w:ascii="宋体" w:hAnsi="宋体"/>
          <w:highlight w:val="none"/>
          <w:lang w:val="zh-CN"/>
        </w:rPr>
        <w:t>2.2 操作条件：＋10～40℃，30～85％湿度。</w:t>
      </w:r>
    </w:p>
    <w:p>
      <w:pPr>
        <w:autoSpaceDE w:val="0"/>
        <w:autoSpaceDN w:val="0"/>
        <w:spacing w:line="360" w:lineRule="auto"/>
        <w:ind w:left="237" w:leftChars="113" w:firstLine="210" w:firstLineChars="100"/>
        <w:rPr>
          <w:rFonts w:ascii="宋体" w:hAnsi="宋体"/>
          <w:highlight w:val="none"/>
        </w:rPr>
      </w:pPr>
      <w:r>
        <w:rPr>
          <w:rFonts w:hint="eastAsia" w:ascii="宋体" w:hAnsi="宋体"/>
          <w:highlight w:val="none"/>
          <w:lang w:val="zh-CN"/>
        </w:rPr>
        <w:t>2.3 注射器选择：</w:t>
      </w:r>
      <w:r>
        <w:rPr>
          <w:rFonts w:hint="eastAsia" w:ascii="宋体" w:hAnsi="宋体"/>
          <w:highlight w:val="none"/>
        </w:rPr>
        <w:t>适用于各厂家生产的符合国标的一次性注射器2/3ml、5/10ml、20ml、30ml、50/60ml；自动识别注射器规格。</w:t>
      </w:r>
    </w:p>
    <w:p>
      <w:pPr>
        <w:autoSpaceDE w:val="0"/>
        <w:autoSpaceDN w:val="0"/>
        <w:spacing w:line="360" w:lineRule="auto"/>
        <w:ind w:left="237" w:leftChars="113" w:firstLine="210" w:firstLineChars="100"/>
        <w:rPr>
          <w:rFonts w:ascii="宋体" w:hAnsi="宋体"/>
          <w:highlight w:val="none"/>
          <w:lang w:val="zh-CN"/>
        </w:rPr>
      </w:pPr>
      <w:r>
        <w:rPr>
          <w:rFonts w:hint="eastAsia" w:ascii="宋体" w:hAnsi="宋体"/>
          <w:highlight w:val="none"/>
        </w:rPr>
        <w:t xml:space="preserve">2.4 </w:t>
      </w:r>
      <w:r>
        <w:rPr>
          <w:rFonts w:hint="eastAsia" w:ascii="宋体" w:hAnsi="宋体"/>
          <w:highlight w:val="none"/>
          <w:lang w:val="zh-CN"/>
        </w:rPr>
        <w:t>注射速率范围：0.01-1000ml/h，0.01ml递增，在不停止输液情况下可改变速率。</w:t>
      </w:r>
    </w:p>
    <w:p>
      <w:pPr>
        <w:autoSpaceDE w:val="0"/>
        <w:autoSpaceDN w:val="0"/>
        <w:spacing w:line="360" w:lineRule="auto"/>
        <w:ind w:left="237" w:leftChars="113" w:firstLine="210" w:firstLineChars="100"/>
        <w:rPr>
          <w:rFonts w:ascii="宋体" w:hAnsi="宋体"/>
          <w:highlight w:val="none"/>
          <w:lang w:val="zh-CN"/>
        </w:rPr>
      </w:pPr>
      <w:r>
        <w:rPr>
          <w:rFonts w:hint="eastAsia" w:ascii="宋体" w:hAnsi="宋体"/>
          <w:highlight w:val="none"/>
          <w:lang w:val="zh-CN"/>
        </w:rPr>
        <w:t>2.5 具备快速推注功能，</w:t>
      </w:r>
      <w:r>
        <w:rPr>
          <w:rFonts w:hint="eastAsia" w:ascii="宋体" w:hAnsi="宋体"/>
          <w:highlight w:val="none"/>
        </w:rPr>
        <w:t>1-1500ml/h可调</w:t>
      </w:r>
      <w:r>
        <w:rPr>
          <w:rFonts w:hint="eastAsia" w:ascii="宋体" w:hAnsi="宋体"/>
          <w:highlight w:val="none"/>
          <w:lang w:val="zh-CN"/>
        </w:rPr>
        <w:t>，同步显示快速推注量。</w:t>
      </w:r>
    </w:p>
    <w:p>
      <w:pPr>
        <w:autoSpaceDE w:val="0"/>
        <w:autoSpaceDN w:val="0"/>
        <w:spacing w:line="360" w:lineRule="auto"/>
        <w:ind w:left="237" w:leftChars="113" w:firstLine="210" w:firstLineChars="100"/>
        <w:rPr>
          <w:rFonts w:ascii="宋体" w:hAnsi="宋体"/>
          <w:highlight w:val="none"/>
          <w:lang w:val="zh-CN"/>
        </w:rPr>
      </w:pPr>
      <w:r>
        <w:rPr>
          <w:rFonts w:hint="eastAsia" w:ascii="宋体" w:hAnsi="宋体"/>
          <w:highlight w:val="none"/>
          <w:lang w:val="zh-CN"/>
        </w:rPr>
        <w:t>2.6 实时显示注射器的类型/大小、注射速度、管路压力、</w:t>
      </w:r>
      <w:r>
        <w:rPr>
          <w:rFonts w:ascii="宋体" w:hAnsi="宋体"/>
          <w:highlight w:val="none"/>
          <w:lang w:val="zh-CN"/>
        </w:rPr>
        <w:t>输液量</w:t>
      </w:r>
      <w:r>
        <w:rPr>
          <w:rFonts w:hint="eastAsia" w:ascii="宋体" w:hAnsi="宋体"/>
          <w:highlight w:val="none"/>
          <w:lang w:val="zh-CN"/>
        </w:rPr>
        <w:t>以及当前输液信息等。</w:t>
      </w:r>
    </w:p>
    <w:p>
      <w:pPr>
        <w:autoSpaceDE w:val="0"/>
        <w:autoSpaceDN w:val="0"/>
        <w:spacing w:line="360" w:lineRule="auto"/>
        <w:ind w:left="237" w:leftChars="113" w:firstLine="210" w:firstLineChars="100"/>
        <w:rPr>
          <w:rFonts w:ascii="宋体" w:hAnsi="宋体"/>
          <w:highlight w:val="none"/>
          <w:lang w:val="zh-CN"/>
        </w:rPr>
      </w:pPr>
      <w:r>
        <w:rPr>
          <w:rFonts w:hint="eastAsia" w:ascii="宋体" w:hAnsi="宋体"/>
          <w:highlight w:val="none"/>
          <w:lang w:val="zh-CN"/>
        </w:rPr>
        <w:t>2.7 电源：插入工作站时由工作站供电，电源要求同工作站一致，并且支持热插拔。单泵使用时电源要求交直流两用，外接电源220±10V，50/60HZ；可外接低压电源：救护车12V直流电；具备内置电池，停电后内置电池可正常工作6小时以上，外接电源工作时内置电池快速充电。</w:t>
      </w:r>
    </w:p>
    <w:p>
      <w:pPr>
        <w:autoSpaceDE w:val="0"/>
        <w:autoSpaceDN w:val="0"/>
        <w:spacing w:line="360" w:lineRule="auto"/>
        <w:ind w:left="237" w:leftChars="113" w:firstLine="210" w:firstLineChars="100"/>
        <w:rPr>
          <w:rFonts w:ascii="宋体" w:hAnsi="宋体"/>
          <w:highlight w:val="none"/>
          <w:lang w:val="zh-CN"/>
        </w:rPr>
      </w:pPr>
      <w:r>
        <w:rPr>
          <w:rFonts w:hint="eastAsia" w:ascii="宋体" w:hAnsi="宋体"/>
          <w:highlight w:val="none"/>
          <w:lang w:val="zh-CN"/>
        </w:rPr>
        <w:t>2.8 报警：通过声、光及明确的闪动符号等显示以下报警：开机后遗忘、自检报警、注射器松脱、管道阻塞、压力过高、气泡（空气探测）、预设注射量完成、排空前3分钟、电池用完前30分钟低电量、操作遗忘或错误提示报警等。</w:t>
      </w:r>
    </w:p>
    <w:p>
      <w:pPr>
        <w:pStyle w:val="10"/>
        <w:numPr>
          <w:ilvl w:val="1"/>
          <w:numId w:val="6"/>
        </w:numPr>
        <w:autoSpaceDE w:val="0"/>
        <w:autoSpaceDN w:val="0"/>
        <w:spacing w:line="360" w:lineRule="auto"/>
        <w:ind w:left="284" w:firstLine="142" w:firstLineChars="0"/>
        <w:rPr>
          <w:rFonts w:ascii="宋体" w:hAnsi="宋体"/>
          <w:highlight w:val="none"/>
          <w:lang w:val="zh-CN"/>
        </w:rPr>
      </w:pPr>
      <w:r>
        <w:rPr>
          <w:rFonts w:hint="eastAsia" w:ascii="宋体" w:hAnsi="宋体"/>
          <w:highlight w:val="none"/>
          <w:lang w:val="zh-CN"/>
        </w:rPr>
        <w:t>单泵具备除颤防护，安全防护可靠，</w:t>
      </w:r>
      <w:r>
        <w:rPr>
          <w:rFonts w:hint="eastAsia" w:ascii="宋体" w:hAnsi="宋体"/>
          <w:highlight w:val="none"/>
        </w:rPr>
        <w:t>在急救中共同使用不会相互影响；防潮：IP22；滴液防护。</w:t>
      </w:r>
    </w:p>
    <w:p>
      <w:pPr>
        <w:pStyle w:val="10"/>
        <w:numPr>
          <w:ilvl w:val="1"/>
          <w:numId w:val="6"/>
        </w:numPr>
        <w:tabs>
          <w:tab w:val="left" w:pos="993"/>
        </w:tabs>
        <w:autoSpaceDE w:val="0"/>
        <w:autoSpaceDN w:val="0"/>
        <w:spacing w:line="360" w:lineRule="auto"/>
        <w:ind w:firstLineChars="0"/>
        <w:rPr>
          <w:rFonts w:ascii="宋体" w:hAnsi="宋体"/>
          <w:highlight w:val="none"/>
          <w:lang w:val="zh-CN"/>
        </w:rPr>
      </w:pPr>
      <w:r>
        <w:rPr>
          <w:rFonts w:hint="eastAsia" w:ascii="宋体" w:hAnsi="宋体"/>
          <w:highlight w:val="none"/>
        </w:rPr>
        <w:t>具有数据锁功能，防止意外更改输液速度、种类等。</w:t>
      </w:r>
    </w:p>
    <w:p>
      <w:pPr>
        <w:pStyle w:val="10"/>
        <w:numPr>
          <w:ilvl w:val="1"/>
          <w:numId w:val="6"/>
        </w:numPr>
        <w:tabs>
          <w:tab w:val="left" w:pos="993"/>
        </w:tabs>
        <w:autoSpaceDE w:val="0"/>
        <w:autoSpaceDN w:val="0"/>
        <w:spacing w:line="360" w:lineRule="auto"/>
        <w:ind w:firstLineChars="0"/>
        <w:rPr>
          <w:rFonts w:ascii="宋体" w:hAnsi="宋体"/>
          <w:highlight w:val="none"/>
          <w:lang w:val="zh-CN"/>
        </w:rPr>
      </w:pPr>
      <w:r>
        <w:rPr>
          <w:rFonts w:hint="eastAsia" w:ascii="宋体" w:hAnsi="宋体"/>
          <w:highlight w:val="none"/>
          <w:lang w:val="zh-CN"/>
        </w:rPr>
        <w:t>轻巧灵便，重量不超过1.5kg；方便安装，可单独固定于输液架上和床旁栏上。</w:t>
      </w:r>
    </w:p>
    <w:p>
      <w:pPr>
        <w:autoSpaceDE w:val="0"/>
        <w:autoSpaceDN w:val="0"/>
        <w:spacing w:line="360" w:lineRule="auto"/>
        <w:rPr>
          <w:rFonts w:ascii="宋体" w:hAnsi="宋体"/>
          <w:highlight w:val="none"/>
          <w:lang w:val="zh-CN"/>
        </w:rPr>
      </w:pPr>
      <w:r>
        <w:rPr>
          <w:rFonts w:hint="eastAsia" w:ascii="宋体" w:hAnsi="宋体"/>
          <w:b/>
          <w:highlight w:val="none"/>
          <w:lang w:val="zh-CN"/>
        </w:rPr>
        <w:t>3.输液泵技术参数：</w:t>
      </w:r>
    </w:p>
    <w:p>
      <w:pPr>
        <w:autoSpaceDE w:val="0"/>
        <w:autoSpaceDN w:val="0"/>
        <w:spacing w:line="360" w:lineRule="auto"/>
        <w:ind w:left="422" w:leftChars="201"/>
        <w:rPr>
          <w:rFonts w:ascii="宋体" w:hAnsi="宋体"/>
          <w:highlight w:val="none"/>
          <w:lang w:val="zh-CN"/>
        </w:rPr>
      </w:pPr>
      <w:r>
        <w:rPr>
          <w:rFonts w:hint="eastAsia" w:ascii="宋体" w:hAnsi="宋体"/>
          <w:color w:val="000000" w:themeColor="text1"/>
          <w:szCs w:val="21"/>
          <w:highlight w:val="none"/>
        </w:rPr>
        <w:t>▲</w:t>
      </w:r>
      <w:r>
        <w:rPr>
          <w:rFonts w:hint="eastAsia" w:ascii="宋体" w:hAnsi="宋体"/>
          <w:highlight w:val="none"/>
          <w:lang w:val="zh-CN"/>
        </w:rPr>
        <w:t>3.1 输液精确度≤±5%。</w:t>
      </w:r>
    </w:p>
    <w:p>
      <w:pPr>
        <w:autoSpaceDE w:val="0"/>
        <w:autoSpaceDN w:val="0"/>
        <w:spacing w:line="360" w:lineRule="auto"/>
        <w:ind w:left="422" w:leftChars="201"/>
        <w:rPr>
          <w:rFonts w:ascii="宋体" w:hAnsi="宋体"/>
          <w:highlight w:val="none"/>
          <w:lang w:val="zh-CN"/>
        </w:rPr>
      </w:pPr>
      <w:r>
        <w:rPr>
          <w:rFonts w:hint="eastAsia" w:ascii="宋体" w:hAnsi="宋体"/>
          <w:color w:val="000000" w:themeColor="text1"/>
          <w:szCs w:val="21"/>
          <w:highlight w:val="none"/>
        </w:rPr>
        <w:t xml:space="preserve">3.2 </w:t>
      </w:r>
      <w:r>
        <w:rPr>
          <w:rFonts w:hint="eastAsia" w:ascii="宋体" w:hAnsi="宋体"/>
          <w:highlight w:val="none"/>
          <w:lang w:val="zh-CN"/>
        </w:rPr>
        <w:t>操作条件：+10~40℃，30~85%湿度。</w:t>
      </w:r>
    </w:p>
    <w:p>
      <w:pPr>
        <w:autoSpaceDE w:val="0"/>
        <w:autoSpaceDN w:val="0"/>
        <w:spacing w:line="360" w:lineRule="auto"/>
        <w:ind w:left="422" w:leftChars="201"/>
        <w:rPr>
          <w:rFonts w:ascii="宋体" w:hAnsi="宋体"/>
          <w:highlight w:val="none"/>
          <w:lang w:val="zh-CN"/>
        </w:rPr>
      </w:pPr>
      <w:r>
        <w:rPr>
          <w:rFonts w:hint="eastAsia" w:ascii="宋体" w:hAnsi="宋体"/>
          <w:highlight w:val="none"/>
          <w:lang w:val="zh-CN"/>
        </w:rPr>
        <w:t>3.3 适用各种规格国产PVC耐压输液器。</w:t>
      </w:r>
    </w:p>
    <w:p>
      <w:pPr>
        <w:autoSpaceDE w:val="0"/>
        <w:autoSpaceDN w:val="0"/>
        <w:spacing w:line="360" w:lineRule="auto"/>
        <w:ind w:left="422" w:leftChars="201"/>
        <w:rPr>
          <w:rFonts w:ascii="宋体" w:hAnsi="宋体"/>
          <w:highlight w:val="none"/>
          <w:lang w:val="zh-CN"/>
        </w:rPr>
      </w:pPr>
      <w:r>
        <w:rPr>
          <w:rFonts w:hint="eastAsia" w:ascii="宋体" w:hAnsi="宋体"/>
          <w:highlight w:val="none"/>
          <w:lang w:val="zh-CN"/>
        </w:rPr>
        <w:t>3.4 预置输液总量范围0.1-999.9ml，每级0.1ml。</w:t>
      </w:r>
    </w:p>
    <w:p>
      <w:pPr>
        <w:autoSpaceDE w:val="0"/>
        <w:autoSpaceDN w:val="0"/>
        <w:spacing w:line="360" w:lineRule="auto"/>
        <w:ind w:left="422" w:leftChars="201"/>
        <w:rPr>
          <w:rFonts w:ascii="宋体" w:hAnsi="宋体"/>
          <w:highlight w:val="none"/>
          <w:lang w:val="zh-CN"/>
        </w:rPr>
      </w:pPr>
      <w:r>
        <w:rPr>
          <w:rFonts w:hint="eastAsia" w:ascii="宋体" w:hAnsi="宋体"/>
          <w:highlight w:val="none"/>
          <w:lang w:val="zh-CN"/>
        </w:rPr>
        <w:t>3.5 输液流速控制范围0.1-999ml/h，以0.1ml递增；可在不停止输液情况下可改变速率。</w:t>
      </w:r>
    </w:p>
    <w:p>
      <w:pPr>
        <w:autoSpaceDE w:val="0"/>
        <w:autoSpaceDN w:val="0"/>
        <w:spacing w:line="360" w:lineRule="auto"/>
        <w:ind w:left="141" w:leftChars="67" w:firstLine="283" w:firstLineChars="135"/>
        <w:rPr>
          <w:rFonts w:ascii="宋体" w:hAnsi="宋体"/>
          <w:highlight w:val="none"/>
          <w:lang w:val="zh-CN"/>
        </w:rPr>
      </w:pPr>
      <w:r>
        <w:rPr>
          <w:rFonts w:hint="eastAsia" w:ascii="宋体" w:hAnsi="宋体"/>
          <w:highlight w:val="none"/>
          <w:lang w:val="zh-CN"/>
        </w:rPr>
        <w:t>3.6 具备快速输注功能，快速输注速度在0.1-999.9ml/h，同步显示快速输注量，快速输液量记入输液总量。</w:t>
      </w:r>
    </w:p>
    <w:p>
      <w:pPr>
        <w:autoSpaceDE w:val="0"/>
        <w:autoSpaceDN w:val="0"/>
        <w:spacing w:line="360" w:lineRule="auto"/>
        <w:ind w:left="141" w:leftChars="67" w:firstLine="283" w:firstLineChars="135"/>
        <w:rPr>
          <w:rFonts w:ascii="宋体" w:hAnsi="宋体"/>
          <w:highlight w:val="none"/>
          <w:lang w:val="zh-CN"/>
        </w:rPr>
      </w:pPr>
      <w:r>
        <w:rPr>
          <w:rFonts w:hint="eastAsia" w:ascii="宋体" w:hAnsi="宋体"/>
          <w:highlight w:val="none"/>
          <w:lang w:val="zh-CN"/>
        </w:rPr>
        <w:t>3.7 数字显示：实时显示输液总量、注射速度、剩余量及输注时间等。</w:t>
      </w:r>
    </w:p>
    <w:p>
      <w:pPr>
        <w:autoSpaceDE w:val="0"/>
        <w:autoSpaceDN w:val="0"/>
        <w:spacing w:line="360" w:lineRule="auto"/>
        <w:ind w:left="141" w:leftChars="67" w:firstLine="283" w:firstLineChars="135"/>
        <w:rPr>
          <w:rFonts w:ascii="宋体" w:hAnsi="宋体"/>
          <w:highlight w:val="none"/>
          <w:lang w:val="zh-CN"/>
        </w:rPr>
      </w:pPr>
      <w:r>
        <w:rPr>
          <w:rFonts w:hint="eastAsia" w:ascii="宋体" w:hAnsi="宋体"/>
          <w:highlight w:val="none"/>
          <w:lang w:val="zh-CN"/>
        </w:rPr>
        <w:t>3.8 电源：外接电源220±10V，50/60HZ；具备内置电池，停电内置电池可正常工作3小时以上；外接电源工作时内置电池快速充电。</w:t>
      </w:r>
    </w:p>
    <w:p>
      <w:pPr>
        <w:autoSpaceDE w:val="0"/>
        <w:autoSpaceDN w:val="0"/>
        <w:spacing w:line="360" w:lineRule="auto"/>
        <w:ind w:left="141" w:leftChars="67" w:firstLine="283" w:firstLineChars="135"/>
        <w:rPr>
          <w:rFonts w:ascii="宋体" w:hAnsi="宋体"/>
          <w:highlight w:val="none"/>
          <w:lang w:val="zh-CN"/>
        </w:rPr>
      </w:pPr>
      <w:r>
        <w:rPr>
          <w:rFonts w:hint="eastAsia" w:ascii="宋体" w:hAnsi="宋体"/>
          <w:highlight w:val="none"/>
          <w:lang w:val="zh-CN"/>
        </w:rPr>
        <w:t>3.9 具有可保持静脉开放速率（KVO）功能，在输液完成后保持静脉开放。</w:t>
      </w:r>
    </w:p>
    <w:p>
      <w:pPr>
        <w:autoSpaceDE w:val="0"/>
        <w:autoSpaceDN w:val="0"/>
        <w:spacing w:line="360" w:lineRule="auto"/>
        <w:ind w:left="141" w:leftChars="67" w:firstLine="283" w:firstLineChars="135"/>
        <w:rPr>
          <w:rFonts w:ascii="宋体" w:hAnsi="宋体"/>
          <w:highlight w:val="none"/>
          <w:lang w:val="zh-CN"/>
        </w:rPr>
      </w:pPr>
      <w:r>
        <w:rPr>
          <w:rFonts w:hint="eastAsia" w:ascii="宋体" w:hAnsi="宋体"/>
          <w:highlight w:val="none"/>
          <w:lang w:val="zh-CN"/>
        </w:rPr>
        <w:t>3.10 具备空气探测器：瞬间探测0.3ml以上的气泡，避免气柱危险；另外在1小时内累计微小气泡达1.5ml时亦报警，报警灵敏度可调。</w:t>
      </w:r>
    </w:p>
    <w:p>
      <w:pPr>
        <w:autoSpaceDE w:val="0"/>
        <w:autoSpaceDN w:val="0"/>
        <w:spacing w:line="360" w:lineRule="auto"/>
        <w:ind w:left="141" w:leftChars="67" w:firstLine="283" w:firstLineChars="135"/>
        <w:rPr>
          <w:rFonts w:ascii="宋体" w:hAnsi="宋体"/>
          <w:highlight w:val="none"/>
          <w:lang w:val="zh-CN"/>
        </w:rPr>
      </w:pPr>
      <w:r>
        <w:rPr>
          <w:rFonts w:hint="eastAsia" w:ascii="宋体" w:hAnsi="宋体"/>
          <w:highlight w:val="none"/>
          <w:lang w:val="zh-CN"/>
        </w:rPr>
        <w:t>3.11 报警：压力大（阻塞）、低压力（管道脱开）、药物注射剩余1～2ml或排空前3分钟报警、气泡（空气探测）报警、电池用完前30分钟低电量报警。</w:t>
      </w:r>
    </w:p>
    <w:p>
      <w:pPr>
        <w:autoSpaceDE w:val="0"/>
        <w:autoSpaceDN w:val="0"/>
        <w:spacing w:line="360" w:lineRule="auto"/>
        <w:ind w:left="141" w:leftChars="67" w:firstLine="283" w:firstLineChars="135"/>
        <w:rPr>
          <w:rFonts w:ascii="宋体" w:hAnsi="宋体"/>
          <w:highlight w:val="none"/>
          <w:lang w:val="zh-CN"/>
        </w:rPr>
      </w:pPr>
      <w:r>
        <w:rPr>
          <w:rFonts w:hint="eastAsia" w:ascii="宋体" w:hAnsi="宋体"/>
          <w:highlight w:val="none"/>
          <w:lang w:val="zh-CN"/>
        </w:rPr>
        <w:t>3.12 有除颤防护，安全防护可靠，CF I；在急救中共同使用不会相互影响。</w:t>
      </w:r>
    </w:p>
    <w:p>
      <w:pPr>
        <w:autoSpaceDE w:val="0"/>
        <w:autoSpaceDN w:val="0"/>
        <w:spacing w:line="360" w:lineRule="auto"/>
        <w:ind w:left="141" w:leftChars="67" w:firstLine="283" w:firstLineChars="135"/>
        <w:rPr>
          <w:rFonts w:ascii="宋体" w:hAnsi="宋体"/>
          <w:highlight w:val="none"/>
          <w:lang w:val="zh-CN"/>
        </w:rPr>
      </w:pPr>
      <w:r>
        <w:rPr>
          <w:rFonts w:hint="eastAsia" w:ascii="宋体" w:hAnsi="宋体"/>
          <w:highlight w:val="none"/>
          <w:lang w:val="zh-CN"/>
        </w:rPr>
        <w:t>3.13 轻巧灵便，方便安装，可以固定于输液架上和床旁横栏上。</w:t>
      </w:r>
    </w:p>
    <w:p>
      <w:pPr>
        <w:numPr>
          <w:ilvl w:val="0"/>
          <w:numId w:val="4"/>
        </w:numPr>
        <w:spacing w:line="440" w:lineRule="exact"/>
        <w:rPr>
          <w:rFonts w:ascii="宋体" w:hAnsi="宋体"/>
          <w:b/>
          <w:color w:val="000000" w:themeColor="text1"/>
          <w:sz w:val="28"/>
          <w:szCs w:val="28"/>
          <w:highlight w:val="none"/>
        </w:rPr>
      </w:pPr>
      <w:r>
        <w:rPr>
          <w:rFonts w:hint="eastAsia" w:ascii="宋体" w:hAnsi="宋体"/>
          <w:b/>
          <w:color w:val="000000" w:themeColor="text1"/>
          <w:sz w:val="28"/>
          <w:szCs w:val="28"/>
          <w:highlight w:val="none"/>
        </w:rPr>
        <w:t>每套设备配置要求：</w:t>
      </w:r>
    </w:p>
    <w:tbl>
      <w:tblPr>
        <w:tblStyle w:val="8"/>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694"/>
        <w:gridCol w:w="3072"/>
        <w:gridCol w:w="1202"/>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序号</w:t>
            </w:r>
          </w:p>
        </w:tc>
        <w:tc>
          <w:tcPr>
            <w:tcW w:w="2694"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名称</w:t>
            </w:r>
          </w:p>
        </w:tc>
        <w:tc>
          <w:tcPr>
            <w:tcW w:w="3072"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要求</w:t>
            </w:r>
          </w:p>
        </w:tc>
        <w:tc>
          <w:tcPr>
            <w:tcW w:w="1202"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数量</w:t>
            </w:r>
          </w:p>
        </w:tc>
        <w:tc>
          <w:tcPr>
            <w:tcW w:w="1142"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1</w:t>
            </w:r>
          </w:p>
        </w:tc>
        <w:tc>
          <w:tcPr>
            <w:tcW w:w="2694"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液体治疗工作站</w:t>
            </w:r>
          </w:p>
        </w:tc>
        <w:tc>
          <w:tcPr>
            <w:tcW w:w="307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原装配套</w:t>
            </w:r>
          </w:p>
        </w:tc>
        <w:tc>
          <w:tcPr>
            <w:tcW w:w="120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1</w:t>
            </w:r>
          </w:p>
        </w:tc>
        <w:tc>
          <w:tcPr>
            <w:tcW w:w="114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2</w:t>
            </w:r>
          </w:p>
        </w:tc>
        <w:tc>
          <w:tcPr>
            <w:tcW w:w="2694"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注射泵</w:t>
            </w:r>
          </w:p>
        </w:tc>
        <w:tc>
          <w:tcPr>
            <w:tcW w:w="307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原装配套</w:t>
            </w:r>
          </w:p>
        </w:tc>
        <w:tc>
          <w:tcPr>
            <w:tcW w:w="120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3</w:t>
            </w:r>
          </w:p>
        </w:tc>
        <w:tc>
          <w:tcPr>
            <w:tcW w:w="114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3</w:t>
            </w:r>
          </w:p>
        </w:tc>
        <w:tc>
          <w:tcPr>
            <w:tcW w:w="2694"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输液泵</w:t>
            </w:r>
          </w:p>
        </w:tc>
        <w:tc>
          <w:tcPr>
            <w:tcW w:w="307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原装配套</w:t>
            </w:r>
          </w:p>
        </w:tc>
        <w:tc>
          <w:tcPr>
            <w:tcW w:w="120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1</w:t>
            </w:r>
          </w:p>
        </w:tc>
        <w:tc>
          <w:tcPr>
            <w:tcW w:w="114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4</w:t>
            </w:r>
          </w:p>
        </w:tc>
        <w:tc>
          <w:tcPr>
            <w:tcW w:w="2694" w:type="dxa"/>
          </w:tcPr>
          <w:p>
            <w:pPr>
              <w:spacing w:line="440" w:lineRule="exact"/>
              <w:jc w:val="center"/>
              <w:rPr>
                <w:rFonts w:ascii="宋体" w:hAnsi="宋体"/>
                <w:color w:val="000000" w:themeColor="text1"/>
                <w:highlight w:val="none"/>
              </w:rPr>
            </w:pPr>
            <w:r>
              <w:rPr>
                <w:rFonts w:hint="eastAsia" w:ascii="宋体" w:hAnsi="宋体"/>
                <w:highlight w:val="none"/>
                <w:lang w:val="zh-CN"/>
              </w:rPr>
              <w:t>电源线</w:t>
            </w:r>
          </w:p>
        </w:tc>
        <w:tc>
          <w:tcPr>
            <w:tcW w:w="307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原装配套</w:t>
            </w:r>
          </w:p>
        </w:tc>
        <w:tc>
          <w:tcPr>
            <w:tcW w:w="1202" w:type="dxa"/>
          </w:tcPr>
          <w:p>
            <w:pPr>
              <w:spacing w:line="440" w:lineRule="exact"/>
              <w:jc w:val="center"/>
              <w:rPr>
                <w:rFonts w:hint="eastAsia" w:ascii="宋体" w:hAnsi="宋体" w:eastAsiaTheme="minorEastAsia"/>
                <w:color w:val="000000" w:themeColor="text1"/>
                <w:highlight w:val="none"/>
                <w:lang w:eastAsia="zh-CN"/>
              </w:rPr>
            </w:pPr>
            <w:r>
              <w:rPr>
                <w:rFonts w:hint="eastAsia" w:ascii="宋体" w:hAnsi="宋体"/>
                <w:color w:val="000000" w:themeColor="text1"/>
                <w:highlight w:val="none"/>
                <w:lang w:val="en-US" w:eastAsia="zh-CN"/>
              </w:rPr>
              <w:t>4</w:t>
            </w:r>
          </w:p>
        </w:tc>
        <w:tc>
          <w:tcPr>
            <w:tcW w:w="114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5</w:t>
            </w:r>
          </w:p>
        </w:tc>
        <w:tc>
          <w:tcPr>
            <w:tcW w:w="2694" w:type="dxa"/>
          </w:tcPr>
          <w:p>
            <w:pPr>
              <w:spacing w:line="440" w:lineRule="exact"/>
              <w:jc w:val="center"/>
              <w:rPr>
                <w:rFonts w:ascii="宋体" w:hAnsi="宋体"/>
                <w:color w:val="000000" w:themeColor="text1"/>
                <w:sz w:val="28"/>
                <w:szCs w:val="28"/>
                <w:highlight w:val="none"/>
              </w:rPr>
            </w:pPr>
            <w:r>
              <w:rPr>
                <w:rFonts w:hint="eastAsia" w:ascii="宋体" w:hAnsi="宋体"/>
                <w:highlight w:val="none"/>
                <w:lang w:val="zh-CN"/>
              </w:rPr>
              <w:t>单泵支架</w:t>
            </w:r>
          </w:p>
        </w:tc>
        <w:tc>
          <w:tcPr>
            <w:tcW w:w="3072" w:type="dxa"/>
          </w:tcPr>
          <w:p>
            <w:pPr>
              <w:spacing w:line="440" w:lineRule="exact"/>
              <w:jc w:val="center"/>
              <w:rPr>
                <w:rFonts w:ascii="宋体" w:hAnsi="宋体"/>
                <w:b/>
                <w:color w:val="000000" w:themeColor="text1"/>
                <w:sz w:val="28"/>
                <w:szCs w:val="28"/>
                <w:highlight w:val="none"/>
              </w:rPr>
            </w:pPr>
            <w:r>
              <w:rPr>
                <w:rFonts w:hint="eastAsia" w:ascii="宋体" w:hAnsi="宋体"/>
                <w:color w:val="000000" w:themeColor="text1"/>
                <w:highlight w:val="none"/>
              </w:rPr>
              <w:t>原装配套</w:t>
            </w:r>
          </w:p>
        </w:tc>
        <w:tc>
          <w:tcPr>
            <w:tcW w:w="1202" w:type="dxa"/>
          </w:tcPr>
          <w:p>
            <w:pPr>
              <w:spacing w:line="440" w:lineRule="exact"/>
              <w:jc w:val="center"/>
              <w:rPr>
                <w:rFonts w:hint="eastAsia" w:ascii="宋体" w:hAnsi="宋体" w:eastAsiaTheme="minorEastAsia"/>
                <w:color w:val="000000" w:themeColor="text1"/>
                <w:highlight w:val="none"/>
                <w:lang w:eastAsia="zh-CN"/>
              </w:rPr>
            </w:pPr>
            <w:r>
              <w:rPr>
                <w:rFonts w:hint="eastAsia" w:ascii="宋体" w:hAnsi="宋体"/>
                <w:color w:val="000000" w:themeColor="text1"/>
                <w:highlight w:val="none"/>
                <w:lang w:val="en-US" w:eastAsia="zh-CN"/>
              </w:rPr>
              <w:t>4</w:t>
            </w:r>
          </w:p>
        </w:tc>
        <w:tc>
          <w:tcPr>
            <w:tcW w:w="1142" w:type="dxa"/>
          </w:tcPr>
          <w:p>
            <w:pPr>
              <w:spacing w:line="440" w:lineRule="exact"/>
              <w:jc w:val="center"/>
              <w:rPr>
                <w:rFonts w:ascii="宋体" w:hAnsi="宋体"/>
                <w:color w:val="000000" w:themeColor="text1"/>
                <w:highlight w:val="none"/>
              </w:rPr>
            </w:pPr>
            <w:r>
              <w:rPr>
                <w:rFonts w:hint="eastAsia" w:ascii="宋体" w:hAnsi="宋体"/>
                <w:color w:val="000000" w:themeColor="text1"/>
                <w:highlight w:val="none"/>
              </w:rPr>
              <w:t>台</w:t>
            </w:r>
          </w:p>
        </w:tc>
      </w:tr>
    </w:tbl>
    <w:p>
      <w:pPr>
        <w:spacing w:line="440" w:lineRule="exact"/>
        <w:rPr>
          <w:rFonts w:ascii="宋体" w:hAnsi="宋体"/>
          <w:b/>
          <w:color w:val="000000" w:themeColor="text1"/>
          <w:sz w:val="28"/>
          <w:szCs w:val="28"/>
          <w:highlight w:val="none"/>
        </w:rPr>
      </w:pPr>
    </w:p>
    <w:p>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商务要求：</w:t>
      </w:r>
    </w:p>
    <w:p>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1.交货及安装、验收要求</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1.1交货地点：采购人指定地点。</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30</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日内完成设备的安装调试。</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1.3中标供应商须保证中标后所提供的设备为原装、全新合格的产品。产品交付时中标供应商应提供产品真实有效的生产日期，且生产日期距交付时间的时间差不超过</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12</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none"/>
          <w:lang w:eastAsia="zh-CN"/>
        </w:rPr>
        <w:t>月</w:t>
      </w:r>
      <w:r>
        <w:rPr>
          <w:rFonts w:hint="eastAsia" w:ascii="仿宋" w:hAnsi="仿宋" w:eastAsia="仿宋" w:cs="仿宋"/>
          <w:color w:val="000000" w:themeColor="text1"/>
          <w:sz w:val="24"/>
          <w:highlight w:val="none"/>
          <w:u w:val="none"/>
        </w:rPr>
        <w:t>。</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1.5验收方式：按《小榄镇镇属医院医疗项目采购和验收管理规定》。</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★1.6投标供应商须要在投标文件做出具承诺函，该承诺函包括但不限于以下内容:</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hint="eastAsia" w:ascii="仿宋" w:hAnsi="仿宋" w:eastAsia="仿宋" w:cs="仿宋"/>
          <w:color w:val="000000" w:themeColor="text1"/>
          <w:sz w:val="24"/>
          <w:highlight w:val="none"/>
        </w:rPr>
      </w:pPr>
    </w:p>
    <w:p>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2.售后服务要求</w:t>
      </w:r>
    </w:p>
    <w:p>
      <w:pPr>
        <w:tabs>
          <w:tab w:val="left" w:pos="420"/>
        </w:tabs>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2.1中标供应商必须在中国境内有售后服务机构，并附有售后服务能力说明。</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4</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3.付款方式</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（1）合同；</w:t>
      </w:r>
    </w:p>
    <w:p>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（2）验收调试合格报告（加盖采购人公章）；</w:t>
      </w:r>
    </w:p>
    <w:p>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（3）中标供应商开具的正式发票（加盖发票专用章）。</w:t>
      </w:r>
    </w:p>
    <w:p>
      <w:pPr>
        <w:rPr>
          <w:highlight w:val="none"/>
        </w:rPr>
      </w:pPr>
      <w:r>
        <w:rPr>
          <w:rFonts w:hint="eastAsia" w:ascii="仿宋" w:hAnsi="仿宋" w:eastAsia="仿宋" w:cs="仿宋"/>
          <w:color w:val="000000" w:themeColor="text1"/>
          <w:sz w:val="24"/>
          <w:highlight w:val="none"/>
        </w:rPr>
        <w:t>★3.2具体付款方式：</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年后</w:t>
      </w:r>
      <w:r>
        <w:rPr>
          <w:rFonts w:hint="eastAsia" w:ascii="仿宋" w:hAnsi="仿宋" w:eastAsia="仿宋" w:cs="仿宋"/>
          <w:color w:val="auto"/>
          <w:sz w:val="24"/>
          <w:highlight w:val="none"/>
          <w:lang w:val="en-US" w:eastAsia="zh-CN"/>
        </w:rPr>
        <w:t>无息</w:t>
      </w:r>
      <w:r>
        <w:rPr>
          <w:rFonts w:hint="eastAsia" w:ascii="仿宋" w:hAnsi="仿宋" w:eastAsia="仿宋" w:cs="仿宋"/>
          <w:color w:val="auto"/>
          <w:sz w:val="24"/>
          <w:highlight w:val="none"/>
        </w:rPr>
        <w:t>支付。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6F40C5B"/>
    <w:multiLevelType w:val="multilevel"/>
    <w:tmpl w:val="26F40C5B"/>
    <w:lvl w:ilvl="0" w:tentative="0">
      <w:start w:val="2"/>
      <w:numFmt w:val="decimal"/>
      <w:lvlText w:val="%1"/>
      <w:lvlJc w:val="left"/>
      <w:pPr>
        <w:ind w:left="360" w:hanging="360"/>
      </w:pPr>
      <w:rPr>
        <w:rFonts w:hint="default"/>
      </w:rPr>
    </w:lvl>
    <w:lvl w:ilvl="1" w:tentative="0">
      <w:start w:val="9"/>
      <w:numFmt w:val="decimal"/>
      <w:lvlText w:val="%1.%2"/>
      <w:lvlJc w:val="left"/>
      <w:pPr>
        <w:ind w:left="807" w:hanging="360"/>
      </w:pPr>
      <w:rPr>
        <w:rFonts w:hint="default"/>
      </w:rPr>
    </w:lvl>
    <w:lvl w:ilvl="2" w:tentative="0">
      <w:start w:val="1"/>
      <w:numFmt w:val="decimal"/>
      <w:lvlText w:val="%1.%2.%3"/>
      <w:lvlJc w:val="left"/>
      <w:pPr>
        <w:ind w:left="1614" w:hanging="720"/>
      </w:pPr>
      <w:rPr>
        <w:rFonts w:hint="default"/>
      </w:rPr>
    </w:lvl>
    <w:lvl w:ilvl="3" w:tentative="0">
      <w:start w:val="1"/>
      <w:numFmt w:val="decimal"/>
      <w:lvlText w:val="%1.%2.%3.%4"/>
      <w:lvlJc w:val="left"/>
      <w:pPr>
        <w:ind w:left="2421" w:hanging="1080"/>
      </w:pPr>
      <w:rPr>
        <w:rFonts w:hint="default"/>
      </w:rPr>
    </w:lvl>
    <w:lvl w:ilvl="4" w:tentative="0">
      <w:start w:val="1"/>
      <w:numFmt w:val="decimal"/>
      <w:lvlText w:val="%1.%2.%3.%4.%5"/>
      <w:lvlJc w:val="left"/>
      <w:pPr>
        <w:ind w:left="2868" w:hanging="1080"/>
      </w:pPr>
      <w:rPr>
        <w:rFonts w:hint="default"/>
      </w:rPr>
    </w:lvl>
    <w:lvl w:ilvl="5" w:tentative="0">
      <w:start w:val="1"/>
      <w:numFmt w:val="decimal"/>
      <w:lvlText w:val="%1.%2.%3.%4.%5.%6"/>
      <w:lvlJc w:val="left"/>
      <w:pPr>
        <w:ind w:left="3675" w:hanging="1440"/>
      </w:pPr>
      <w:rPr>
        <w:rFonts w:hint="default"/>
      </w:rPr>
    </w:lvl>
    <w:lvl w:ilvl="6" w:tentative="0">
      <w:start w:val="1"/>
      <w:numFmt w:val="decimal"/>
      <w:lvlText w:val="%1.%2.%3.%4.%5.%6.%7"/>
      <w:lvlJc w:val="left"/>
      <w:pPr>
        <w:ind w:left="4122" w:hanging="1440"/>
      </w:pPr>
      <w:rPr>
        <w:rFonts w:hint="default"/>
      </w:rPr>
    </w:lvl>
    <w:lvl w:ilvl="7" w:tentative="0">
      <w:start w:val="1"/>
      <w:numFmt w:val="decimal"/>
      <w:lvlText w:val="%1.%2.%3.%4.%5.%6.%7.%8"/>
      <w:lvlJc w:val="left"/>
      <w:pPr>
        <w:ind w:left="4929" w:hanging="1800"/>
      </w:pPr>
      <w:rPr>
        <w:rFonts w:hint="default"/>
      </w:rPr>
    </w:lvl>
    <w:lvl w:ilvl="8" w:tentative="0">
      <w:start w:val="1"/>
      <w:numFmt w:val="decimal"/>
      <w:lvlText w:val="%1.%2.%3.%4.%5.%6.%7.%8.%9"/>
      <w:lvlJc w:val="left"/>
      <w:pPr>
        <w:ind w:left="5376" w:hanging="1800"/>
      </w:pPr>
      <w:rPr>
        <w:rFonts w:hint="default"/>
      </w:rPr>
    </w:lvl>
  </w:abstractNum>
  <w:abstractNum w:abstractNumId="4">
    <w:nsid w:val="31E5664B"/>
    <w:multiLevelType w:val="multilevel"/>
    <w:tmpl w:val="31E5664B"/>
    <w:lvl w:ilvl="0" w:tentative="0">
      <w:start w:val="1"/>
      <w:numFmt w:val="decimal"/>
      <w:lvlText w:val="%1."/>
      <w:lvlJc w:val="left"/>
      <w:pPr>
        <w:ind w:left="662" w:hanging="240"/>
      </w:pPr>
      <w:rPr>
        <w:rFonts w:hint="default"/>
      </w:rPr>
    </w:lvl>
    <w:lvl w:ilvl="1" w:tentative="0">
      <w:start w:val="1"/>
      <w:numFmt w:val="decimal"/>
      <w:isLgl/>
      <w:lvlText w:val="%1.%2"/>
      <w:lvlJc w:val="left"/>
      <w:pPr>
        <w:ind w:left="782" w:hanging="360"/>
      </w:pPr>
      <w:rPr>
        <w:rFonts w:hint="default"/>
        <w:b w:val="0"/>
      </w:rPr>
    </w:lvl>
    <w:lvl w:ilvl="2" w:tentative="0">
      <w:start w:val="1"/>
      <w:numFmt w:val="decimal"/>
      <w:isLgl/>
      <w:lvlText w:val="%1.%2.%3"/>
      <w:lvlJc w:val="left"/>
      <w:pPr>
        <w:ind w:left="1142" w:hanging="720"/>
      </w:pPr>
      <w:rPr>
        <w:rFonts w:hint="default"/>
        <w:b w:val="0"/>
      </w:rPr>
    </w:lvl>
    <w:lvl w:ilvl="3" w:tentative="0">
      <w:start w:val="1"/>
      <w:numFmt w:val="decimal"/>
      <w:isLgl/>
      <w:lvlText w:val="%1.%2.%3.%4"/>
      <w:lvlJc w:val="left"/>
      <w:pPr>
        <w:ind w:left="1502" w:hanging="1080"/>
      </w:pPr>
      <w:rPr>
        <w:rFonts w:hint="default"/>
        <w:b w:val="0"/>
      </w:rPr>
    </w:lvl>
    <w:lvl w:ilvl="4" w:tentative="0">
      <w:start w:val="1"/>
      <w:numFmt w:val="decimal"/>
      <w:isLgl/>
      <w:lvlText w:val="%1.%2.%3.%4.%5"/>
      <w:lvlJc w:val="left"/>
      <w:pPr>
        <w:ind w:left="1502" w:hanging="1080"/>
      </w:pPr>
      <w:rPr>
        <w:rFonts w:hint="default"/>
        <w:b w:val="0"/>
      </w:rPr>
    </w:lvl>
    <w:lvl w:ilvl="5" w:tentative="0">
      <w:start w:val="1"/>
      <w:numFmt w:val="decimal"/>
      <w:isLgl/>
      <w:lvlText w:val="%1.%2.%3.%4.%5.%6"/>
      <w:lvlJc w:val="left"/>
      <w:pPr>
        <w:ind w:left="1862" w:hanging="1440"/>
      </w:pPr>
      <w:rPr>
        <w:rFonts w:hint="default"/>
        <w:b w:val="0"/>
      </w:rPr>
    </w:lvl>
    <w:lvl w:ilvl="6" w:tentative="0">
      <w:start w:val="1"/>
      <w:numFmt w:val="decimal"/>
      <w:isLgl/>
      <w:lvlText w:val="%1.%2.%3.%4.%5.%6.%7"/>
      <w:lvlJc w:val="left"/>
      <w:pPr>
        <w:ind w:left="1862" w:hanging="1440"/>
      </w:pPr>
      <w:rPr>
        <w:rFonts w:hint="default"/>
        <w:b w:val="0"/>
      </w:rPr>
    </w:lvl>
    <w:lvl w:ilvl="7" w:tentative="0">
      <w:start w:val="1"/>
      <w:numFmt w:val="decimal"/>
      <w:isLgl/>
      <w:lvlText w:val="%1.%2.%3.%4.%5.%6.%7.%8"/>
      <w:lvlJc w:val="left"/>
      <w:pPr>
        <w:ind w:left="2222" w:hanging="1800"/>
      </w:pPr>
      <w:rPr>
        <w:rFonts w:hint="default"/>
        <w:b w:val="0"/>
      </w:rPr>
    </w:lvl>
    <w:lvl w:ilvl="8" w:tentative="0">
      <w:start w:val="1"/>
      <w:numFmt w:val="decimal"/>
      <w:isLgl/>
      <w:lvlText w:val="%1.%2.%3.%4.%5.%6.%7.%8.%9"/>
      <w:lvlJc w:val="left"/>
      <w:pPr>
        <w:ind w:left="2222" w:hanging="1800"/>
      </w:pPr>
      <w:rPr>
        <w:rFonts w:hint="default"/>
        <w:b w:val="0"/>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3E795F"/>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E712EDD"/>
    <w:rsid w:val="2EBD544A"/>
    <w:rsid w:val="2EE55694"/>
    <w:rsid w:val="2F4263DE"/>
    <w:rsid w:val="2F980E41"/>
    <w:rsid w:val="2FB36F7C"/>
    <w:rsid w:val="32A966F2"/>
    <w:rsid w:val="34326E09"/>
    <w:rsid w:val="34AF794B"/>
    <w:rsid w:val="352058F9"/>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semiHidden/>
    <w:unhideWhenUsed/>
    <w:qFormat/>
    <w:uiPriority w:val="99"/>
    <w:pPr>
      <w:spacing w:after="120" w:line="480" w:lineRule="auto"/>
    </w:p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Anrede1IhrZeichen"/>
    <w:basedOn w:val="9"/>
    <w:qFormat/>
    <w:uiPriority w:val="0"/>
    <w:rPr>
      <w:rFonts w:ascii="Arial" w:hAnsi="Arial"/>
      <w:sz w:val="20"/>
    </w:rPr>
  </w:style>
  <w:style w:type="paragraph" w:customStyle="1" w:styleId="12">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3">
    <w:name w:val="页眉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549</Words>
  <Characters>577</Characters>
  <Lines>5</Lines>
  <Paragraphs>1</Paragraphs>
  <TotalTime>1</TotalTime>
  <ScaleCrop>false</ScaleCrop>
  <LinksUpToDate>false</LinksUpToDate>
  <CharactersWithSpaces>661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2023-01-04T01:49:47Z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38BE5E2D3B3B455C80711EE923AACF68</vt:lpwstr>
  </property>
</Properties>
</file>