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000000" w:themeColor="text1"/>
          <w:kern w:val="28"/>
          <w:sz w:val="44"/>
          <w:szCs w:val="36"/>
          <w:highlight w:val="none"/>
          <w14:textFill>
            <w14:solidFill>
              <w14:schemeClr w14:val="tx1"/>
            </w14:solidFill>
          </w14:textFill>
        </w:rPr>
      </w:pPr>
      <w:r>
        <w:rPr>
          <w:rFonts w:hint="eastAsia" w:ascii="仿宋" w:hAnsi="仿宋" w:eastAsia="仿宋" w:cs="仿宋"/>
          <w:b/>
          <w:color w:val="000000" w:themeColor="text1"/>
          <w:kern w:val="28"/>
          <w:sz w:val="44"/>
          <w:szCs w:val="36"/>
          <w:highlight w:val="none"/>
          <w14:textFill>
            <w14:solidFill>
              <w14:schemeClr w14:val="tx1"/>
            </w14:solidFill>
          </w14:textFill>
        </w:rPr>
        <w:t>采购</w:t>
      </w:r>
      <w:r>
        <w:rPr>
          <w:rFonts w:hint="eastAsia" w:ascii="仿宋" w:hAnsi="仿宋" w:eastAsia="仿宋" w:cs="仿宋"/>
          <w:b/>
          <w:color w:val="000000" w:themeColor="text1"/>
          <w:kern w:val="28"/>
          <w:sz w:val="44"/>
          <w:szCs w:val="36"/>
          <w:highlight w:val="none"/>
          <w14:textFill>
            <w14:solidFill>
              <w14:schemeClr w14:val="tx1"/>
            </w14:solidFill>
          </w14:textFill>
        </w:rPr>
        <w:t>需求书</w:t>
      </w:r>
    </w:p>
    <w:p>
      <w:pPr>
        <w:numPr>
          <w:ilvl w:val="0"/>
          <w:numId w:val="1"/>
        </w:num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总则：</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3.本项目不接受联合体、中标供应商不得以任何方式转包本项目。</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4.单位负责人为同一人或者存在直接控股、关联关系的不同投标人，</w:t>
      </w:r>
      <w:bookmarkStart w:id="0" w:name="_GoBack"/>
      <w:bookmarkEnd w:id="0"/>
      <w:r>
        <w:rPr>
          <w:rFonts w:hint="eastAsia" w:ascii="仿宋" w:hAnsi="仿宋" w:eastAsia="仿宋" w:cs="仿宋"/>
          <w:color w:val="000000" w:themeColor="text1"/>
          <w:sz w:val="24"/>
          <w:highlight w:val="none"/>
          <w14:textFill>
            <w14:solidFill>
              <w14:schemeClr w14:val="tx1"/>
            </w14:solidFill>
          </w14:textFill>
        </w:rPr>
        <w:t>不得参加同一合同项下的招标活动。</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投标供应商应该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6.本文的“质保期”是指中标标的物经约定的验收机构完成验收之日起算，截止中标人承诺的期限。</w:t>
      </w:r>
    </w:p>
    <w:p>
      <w:pPr>
        <w:numPr>
          <w:ilvl w:val="0"/>
          <w:numId w:val="1"/>
        </w:num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p>
        </w:tc>
        <w:tc>
          <w:tcPr>
            <w:tcW w:w="2268" w:type="dxa"/>
          </w:tcPr>
          <w:p>
            <w:pPr>
              <w:spacing w:line="4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需求科室/部门</w:t>
            </w:r>
          </w:p>
        </w:tc>
        <w:tc>
          <w:tcPr>
            <w:tcW w:w="2508" w:type="dxa"/>
          </w:tcPr>
          <w:p>
            <w:pPr>
              <w:spacing w:line="4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top"/>
          </w:tcPr>
          <w:p>
            <w:pPr>
              <w:spacing w:line="440" w:lineRule="exact"/>
              <w:jc w:val="center"/>
              <w:rPr>
                <w:rFonts w:hint="eastAsia"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输液泵</w:t>
            </w:r>
          </w:p>
        </w:tc>
        <w:tc>
          <w:tcPr>
            <w:tcW w:w="2268" w:type="dxa"/>
            <w:vAlign w:val="top"/>
          </w:tcPr>
          <w:p>
            <w:pPr>
              <w:spacing w:line="4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护理部</w:t>
            </w:r>
          </w:p>
        </w:tc>
        <w:tc>
          <w:tcPr>
            <w:tcW w:w="2508" w:type="dxa"/>
            <w:vAlign w:val="top"/>
          </w:tcPr>
          <w:p>
            <w:pPr>
              <w:spacing w:line="440" w:lineRule="exact"/>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p>
        </w:tc>
      </w:tr>
    </w:tbl>
    <w:p>
      <w:pPr>
        <w:spacing w:line="440" w:lineRule="exact"/>
        <w:rPr>
          <w:rFonts w:hint="eastAsia"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核心产品：</w:t>
      </w:r>
      <w:r>
        <w:rPr>
          <w:rFonts w:hint="eastAsia" w:ascii="仿宋" w:hAnsi="仿宋" w:eastAsia="仿宋" w:cs="仿宋"/>
          <w:color w:val="000000" w:themeColor="text1"/>
          <w:sz w:val="24"/>
          <w:highlight w:val="none"/>
          <w:lang w:val="en-US" w:eastAsia="zh-CN"/>
          <w14:textFill>
            <w14:solidFill>
              <w14:schemeClr w14:val="tx1"/>
            </w14:solidFill>
          </w14:textFill>
        </w:rPr>
        <w:t>输液泵</w:t>
      </w:r>
    </w:p>
    <w:p>
      <w:pPr>
        <w:spacing w:line="440" w:lineRule="exact"/>
        <w:rPr>
          <w:rFonts w:hint="eastAsia" w:ascii="仿宋" w:hAnsi="仿宋" w:eastAsia="仿宋" w:cs="仿宋"/>
          <w:color w:val="000000" w:themeColor="text1"/>
          <w:sz w:val="24"/>
          <w:highlight w:val="none"/>
          <w14:textFill>
            <w14:solidFill>
              <w14:schemeClr w14:val="tx1"/>
            </w14:solidFill>
          </w14:textFill>
        </w:rPr>
      </w:pP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用途：</w:t>
      </w:r>
      <w:r>
        <w:rPr>
          <w:rFonts w:hint="eastAsia" w:ascii="仿宋" w:hAnsi="仿宋" w:eastAsia="仿宋" w:cs="仿宋"/>
          <w:color w:val="000000" w:themeColor="text1"/>
          <w:szCs w:val="21"/>
          <w:highlight w:val="none"/>
          <w14:textFill>
            <w14:solidFill>
              <w14:schemeClr w14:val="tx1"/>
            </w14:solidFill>
          </w14:textFill>
        </w:rPr>
        <w:t>精准安全</w:t>
      </w:r>
      <w:r>
        <w:rPr>
          <w:rFonts w:hint="eastAsia" w:ascii="仿宋" w:hAnsi="仿宋" w:eastAsia="仿宋" w:cs="仿宋"/>
          <w:color w:val="000000" w:themeColor="text1"/>
          <w:szCs w:val="21"/>
          <w:highlight w:val="none"/>
          <w:lang w:val="en-US" w:eastAsia="zh-CN"/>
          <w14:textFill>
            <w14:solidFill>
              <w14:schemeClr w14:val="tx1"/>
            </w14:solidFill>
          </w14:textFill>
        </w:rPr>
        <w:t>输注</w:t>
      </w:r>
      <w:r>
        <w:rPr>
          <w:rFonts w:hint="eastAsia" w:ascii="仿宋" w:hAnsi="仿宋" w:eastAsia="仿宋" w:cs="仿宋"/>
          <w:color w:val="000000" w:themeColor="text1"/>
          <w:szCs w:val="21"/>
          <w:highlight w:val="none"/>
          <w14:textFill>
            <w14:solidFill>
              <w14:schemeClr w14:val="tx1"/>
            </w14:solidFill>
          </w14:textFill>
        </w:rPr>
        <w:t>药物</w:t>
      </w:r>
    </w:p>
    <w:p>
      <w:pP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br w:type="page"/>
      </w:r>
    </w:p>
    <w:p>
      <w:pPr>
        <w:numPr>
          <w:ilvl w:val="0"/>
          <w:numId w:val="1"/>
        </w:num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技术参数：</w:t>
      </w:r>
    </w:p>
    <w:tbl>
      <w:tblPr>
        <w:tblStyle w:val="11"/>
        <w:tblW w:w="86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680" w:type="dxa"/>
            <w:gridSpan w:val="2"/>
            <w:vAlign w:val="center"/>
          </w:tcPr>
          <w:p>
            <w:pPr>
              <w:spacing w:line="440" w:lineRule="exact"/>
              <w:jc w:val="both"/>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需求参数一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04" w:type="dxa"/>
            <w:vAlign w:val="center"/>
          </w:tcPr>
          <w:p>
            <w:pPr>
              <w:spacing w:line="440" w:lineRule="exact"/>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序号</w:t>
            </w:r>
          </w:p>
        </w:tc>
        <w:tc>
          <w:tcPr>
            <w:tcW w:w="7976" w:type="dxa"/>
            <w:vAlign w:val="center"/>
          </w:tcPr>
          <w:p>
            <w:pPr>
              <w:spacing w:line="440" w:lineRule="exact"/>
              <w:jc w:val="both"/>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参数要求</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04" w:type="dxa"/>
            <w:vAlign w:val="center"/>
          </w:tcPr>
          <w:p>
            <w:pPr>
              <w:spacing w:line="440" w:lineRule="exact"/>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7976" w:type="dxa"/>
            <w:vAlign w:val="center"/>
          </w:tcPr>
          <w:p>
            <w:pPr>
              <w:pStyle w:val="21"/>
              <w:spacing w:line="360" w:lineRule="auto"/>
              <w:jc w:val="both"/>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触摸屏操作，方便快捷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704" w:type="dxa"/>
            <w:vAlign w:val="center"/>
          </w:tcPr>
          <w:p>
            <w:pPr>
              <w:spacing w:line="440" w:lineRule="exact"/>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p>
        </w:tc>
        <w:tc>
          <w:tcPr>
            <w:tcW w:w="7976" w:type="dxa"/>
            <w:vAlign w:val="center"/>
          </w:tcPr>
          <w:p>
            <w:pPr>
              <w:spacing w:line="240" w:lineRule="auto"/>
              <w:jc w:val="both"/>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≥8种输液模式可选</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支持</w:t>
            </w:r>
            <w:r>
              <w:rPr>
                <w:rFonts w:hint="eastAsia" w:ascii="仿宋" w:hAnsi="仿宋" w:eastAsia="仿宋" w:cs="仿宋"/>
                <w:color w:val="000000" w:themeColor="text1"/>
                <w:sz w:val="21"/>
                <w:szCs w:val="21"/>
                <w:highlight w:val="none"/>
                <w14:textFill>
                  <w14:solidFill>
                    <w14:schemeClr w14:val="tx1"/>
                  </w14:solidFill>
                </w14:textFill>
              </w:rPr>
              <w:t>序列模式、点滴模式、梯度模式、首剂量模式、微量模式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04" w:type="dxa"/>
            <w:vAlign w:val="center"/>
          </w:tcPr>
          <w:p>
            <w:pPr>
              <w:spacing w:line="440" w:lineRule="exact"/>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p>
        </w:tc>
        <w:tc>
          <w:tcPr>
            <w:tcW w:w="7976" w:type="dxa"/>
            <w:vAlign w:val="center"/>
          </w:tcPr>
          <w:p>
            <w:pPr>
              <w:pStyle w:val="21"/>
              <w:spacing w:line="360" w:lineRule="auto"/>
              <w:jc w:val="both"/>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▲单个气泡监测，气泡等级7级可调：最大可选800ul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04" w:type="dxa"/>
            <w:vAlign w:val="center"/>
          </w:tcPr>
          <w:p>
            <w:pPr>
              <w:spacing w:line="440" w:lineRule="exact"/>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p>
        </w:tc>
        <w:tc>
          <w:tcPr>
            <w:tcW w:w="7976" w:type="dxa"/>
            <w:vAlign w:val="center"/>
          </w:tcPr>
          <w:p>
            <w:pPr>
              <w:pStyle w:val="21"/>
              <w:spacing w:line="360" w:lineRule="auto"/>
              <w:jc w:val="both"/>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累积气泡监测，气泡等级7级可调：最大可选1000ul/15min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04" w:type="dxa"/>
            <w:vAlign w:val="center"/>
          </w:tcPr>
          <w:p>
            <w:pPr>
              <w:spacing w:line="440" w:lineRule="exact"/>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p>
        </w:tc>
        <w:tc>
          <w:tcPr>
            <w:tcW w:w="7976" w:type="dxa"/>
            <w:vAlign w:val="center"/>
          </w:tcPr>
          <w:p>
            <w:pPr>
              <w:spacing w:line="240" w:lineRule="auto"/>
              <w:jc w:val="both"/>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可以选择3种快进方式：手动快进、快速定量快进、自动快进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04" w:type="dxa"/>
            <w:vAlign w:val="center"/>
          </w:tcPr>
          <w:p>
            <w:pPr>
              <w:spacing w:line="440" w:lineRule="exact"/>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w:t>
            </w:r>
          </w:p>
        </w:tc>
        <w:tc>
          <w:tcPr>
            <w:tcW w:w="7976" w:type="dxa"/>
            <w:vAlign w:val="center"/>
          </w:tcPr>
          <w:p>
            <w:pPr>
              <w:pStyle w:val="21"/>
              <w:spacing w:line="360" w:lineRule="auto"/>
              <w:jc w:val="both"/>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阻塞级别：10级可选择，动态显示管路的压力状态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04" w:type="dxa"/>
            <w:vAlign w:val="center"/>
          </w:tcPr>
          <w:p>
            <w:pPr>
              <w:spacing w:line="360" w:lineRule="auto"/>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w:t>
            </w:r>
          </w:p>
        </w:tc>
        <w:tc>
          <w:tcPr>
            <w:tcW w:w="7976" w:type="dxa"/>
            <w:vAlign w:val="center"/>
          </w:tcPr>
          <w:p>
            <w:pPr>
              <w:pStyle w:val="21"/>
              <w:spacing w:line="360" w:lineRule="auto"/>
              <w:jc w:val="both"/>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▲电动止液夹功能，止液夹按键控制状态下会自动打开或者关闭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04" w:type="dxa"/>
            <w:vAlign w:val="center"/>
          </w:tcPr>
          <w:p>
            <w:pPr>
              <w:spacing w:line="360" w:lineRule="auto"/>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w:t>
            </w:r>
          </w:p>
        </w:tc>
        <w:tc>
          <w:tcPr>
            <w:tcW w:w="7976" w:type="dxa"/>
            <w:vAlign w:val="center"/>
          </w:tcPr>
          <w:p>
            <w:pPr>
              <w:pStyle w:val="21"/>
              <w:spacing w:line="360" w:lineRule="auto"/>
              <w:jc w:val="both"/>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电动泵门：开泵门按键，按键即可自动打开泵门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04" w:type="dxa"/>
            <w:vAlign w:val="center"/>
          </w:tcPr>
          <w:p>
            <w:pPr>
              <w:spacing w:line="360" w:lineRule="auto"/>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w:t>
            </w:r>
          </w:p>
        </w:tc>
        <w:tc>
          <w:tcPr>
            <w:tcW w:w="7976" w:type="dxa"/>
            <w:vAlign w:val="center"/>
          </w:tcPr>
          <w:p>
            <w:pPr>
              <w:spacing w:line="240" w:lineRule="auto"/>
              <w:jc w:val="both"/>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支持配置药物库, 可存储至少2000种药物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04" w:type="dxa"/>
            <w:vAlign w:val="center"/>
          </w:tcPr>
          <w:p>
            <w:pPr>
              <w:spacing w:line="360" w:lineRule="auto"/>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w:t>
            </w:r>
          </w:p>
        </w:tc>
        <w:tc>
          <w:tcPr>
            <w:tcW w:w="7976" w:type="dxa"/>
            <w:vAlign w:val="center"/>
          </w:tcPr>
          <w:p>
            <w:pPr>
              <w:spacing w:line="240" w:lineRule="auto"/>
              <w:jc w:val="both"/>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界面风格可设置多种主题颜色，以便通过颜色快速识别输注药物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04" w:type="dxa"/>
            <w:vAlign w:val="center"/>
          </w:tcPr>
          <w:p>
            <w:pPr>
              <w:spacing w:line="360" w:lineRule="auto"/>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w:t>
            </w:r>
          </w:p>
        </w:tc>
        <w:tc>
          <w:tcPr>
            <w:tcW w:w="7976" w:type="dxa"/>
            <w:vAlign w:val="center"/>
          </w:tcPr>
          <w:p>
            <w:pPr>
              <w:spacing w:line="240" w:lineRule="auto"/>
              <w:jc w:val="both"/>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具有“按键”放大显示输液速度功能，一键放大输液速度数值</w:t>
            </w:r>
          </w:p>
        </w:tc>
      </w:tr>
    </w:tbl>
    <w:p>
      <w:pP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br w:type="page"/>
      </w:r>
    </w:p>
    <w:tbl>
      <w:tblPr>
        <w:tblStyle w:val="11"/>
        <w:tblW w:w="834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340" w:type="dxa"/>
            <w:gridSpan w:val="2"/>
            <w:vAlign w:val="center"/>
          </w:tcPr>
          <w:p>
            <w:pPr>
              <w:spacing w:line="240" w:lineRule="auto"/>
              <w:jc w:val="both"/>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需求参数二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678" w:type="dxa"/>
            <w:vAlign w:val="center"/>
          </w:tcPr>
          <w:p>
            <w:pPr>
              <w:spacing w:line="240" w:lineRule="auto"/>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序号</w:t>
            </w:r>
          </w:p>
        </w:tc>
        <w:tc>
          <w:tcPr>
            <w:tcW w:w="7662" w:type="dxa"/>
            <w:vAlign w:val="center"/>
          </w:tcPr>
          <w:p>
            <w:pPr>
              <w:spacing w:line="240" w:lineRule="auto"/>
              <w:jc w:val="both"/>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678" w:type="dxa"/>
            <w:vAlign w:val="center"/>
          </w:tcPr>
          <w:p>
            <w:pPr>
              <w:spacing w:line="240" w:lineRule="auto"/>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7662" w:type="dxa"/>
            <w:vAlign w:val="center"/>
          </w:tcPr>
          <w:p>
            <w:pPr>
              <w:spacing w:line="240" w:lineRule="auto"/>
              <w:jc w:val="both"/>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屏幕不小于2.5”，同屏显示：速率、当前输液状态、累计量、电池容量、报警压力档位、报警信息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78" w:type="dxa"/>
            <w:vAlign w:val="center"/>
          </w:tcPr>
          <w:p>
            <w:pPr>
              <w:spacing w:line="240" w:lineRule="auto"/>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p>
        </w:tc>
        <w:tc>
          <w:tcPr>
            <w:tcW w:w="7662" w:type="dxa"/>
            <w:vAlign w:val="center"/>
          </w:tcPr>
          <w:p>
            <w:pPr>
              <w:spacing w:line="240" w:lineRule="auto"/>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有</w:t>
            </w:r>
            <w:r>
              <w:rPr>
                <w:rFonts w:hint="eastAsia" w:ascii="仿宋" w:hAnsi="仿宋" w:eastAsia="仿宋" w:cs="仿宋"/>
                <w:color w:val="000000" w:themeColor="text1"/>
                <w:sz w:val="21"/>
                <w:szCs w:val="21"/>
                <w:highlight w:val="none"/>
                <w14:textFill>
                  <w14:solidFill>
                    <w14:schemeClr w14:val="tx1"/>
                  </w14:solidFill>
                </w14:textFill>
              </w:rPr>
              <w:t>预存输液器品牌规格</w:t>
            </w:r>
            <w:r>
              <w:rPr>
                <w:rFonts w:hint="eastAsia" w:ascii="仿宋" w:hAnsi="仿宋" w:eastAsia="仿宋" w:cs="仿宋"/>
                <w:color w:val="000000" w:themeColor="text1"/>
                <w:sz w:val="21"/>
                <w:szCs w:val="21"/>
                <w:highlight w:val="none"/>
                <w:lang w:val="en-US" w:eastAsia="zh-CN"/>
                <w14:textFill>
                  <w14:solidFill>
                    <w14:schemeClr w14:val="tx1"/>
                  </w14:solidFill>
                </w14:textFill>
              </w:rPr>
              <w:t>功能</w:t>
            </w:r>
            <w:r>
              <w:rPr>
                <w:rFonts w:hint="eastAsia" w:ascii="仿宋" w:hAnsi="仿宋" w:eastAsia="仿宋" w:cs="仿宋"/>
                <w:color w:val="000000" w:themeColor="text1"/>
                <w:sz w:val="21"/>
                <w:szCs w:val="21"/>
                <w:highlight w:val="none"/>
                <w14:textFill>
                  <w14:solidFill>
                    <w14:schemeClr w14:val="tx1"/>
                  </w14:solidFill>
                </w14:textFill>
              </w:rPr>
              <w:t>，可校准自定义输液器</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预存数量≥15种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8" w:type="dxa"/>
            <w:vAlign w:val="center"/>
          </w:tcPr>
          <w:p>
            <w:pPr>
              <w:spacing w:line="240" w:lineRule="auto"/>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p>
        </w:tc>
        <w:tc>
          <w:tcPr>
            <w:tcW w:w="7662" w:type="dxa"/>
            <w:vAlign w:val="center"/>
          </w:tcPr>
          <w:p>
            <w:pPr>
              <w:spacing w:line="240" w:lineRule="auto"/>
              <w:jc w:val="both"/>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KVO： 0.5ml/h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8" w:type="dxa"/>
            <w:vAlign w:val="center"/>
          </w:tcPr>
          <w:p>
            <w:pPr>
              <w:spacing w:line="240" w:lineRule="auto"/>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p>
        </w:tc>
        <w:tc>
          <w:tcPr>
            <w:tcW w:w="7662" w:type="dxa"/>
            <w:vAlign w:val="center"/>
          </w:tcPr>
          <w:p>
            <w:pPr>
              <w:spacing w:line="240" w:lineRule="auto"/>
              <w:jc w:val="both"/>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速率</w:t>
            </w:r>
            <w:r>
              <w:rPr>
                <w:rFonts w:hint="eastAsia" w:ascii="仿宋" w:hAnsi="仿宋" w:eastAsia="仿宋" w:cs="仿宋"/>
                <w:color w:val="000000" w:themeColor="text1"/>
                <w:sz w:val="21"/>
                <w:szCs w:val="21"/>
                <w:highlight w:val="none"/>
                <w14:textFill>
                  <w14:solidFill>
                    <w14:schemeClr w14:val="tx1"/>
                  </w14:solidFill>
                </w14:textFill>
              </w:rPr>
              <w:t>范围：0.1-1500ml/h, 递增：0.1ml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8" w:type="dxa"/>
            <w:vAlign w:val="center"/>
          </w:tcPr>
          <w:p>
            <w:pPr>
              <w:spacing w:line="240" w:lineRule="auto"/>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p>
        </w:tc>
        <w:tc>
          <w:tcPr>
            <w:tcW w:w="7662" w:type="dxa"/>
            <w:vAlign w:val="center"/>
          </w:tcPr>
          <w:p>
            <w:pPr>
              <w:spacing w:line="240" w:lineRule="auto"/>
              <w:jc w:val="both"/>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预置总量范围：0.1-9999ml，递增：0.1ml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8" w:type="dxa"/>
            <w:vAlign w:val="center"/>
          </w:tcPr>
          <w:p>
            <w:pPr>
              <w:spacing w:line="240" w:lineRule="auto"/>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w:t>
            </w:r>
          </w:p>
        </w:tc>
        <w:tc>
          <w:tcPr>
            <w:tcW w:w="7662" w:type="dxa"/>
            <w:vAlign w:val="center"/>
          </w:tcPr>
          <w:p>
            <w:pPr>
              <w:spacing w:line="240" w:lineRule="auto"/>
              <w:jc w:val="both"/>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全挤压蠕动输注，精度≤±5%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8" w:type="dxa"/>
            <w:vAlign w:val="center"/>
          </w:tcPr>
          <w:p>
            <w:pPr>
              <w:spacing w:line="240" w:lineRule="auto"/>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w:t>
            </w:r>
          </w:p>
        </w:tc>
        <w:tc>
          <w:tcPr>
            <w:tcW w:w="7662" w:type="dxa"/>
            <w:vAlign w:val="center"/>
          </w:tcPr>
          <w:p>
            <w:pPr>
              <w:spacing w:line="240" w:lineRule="auto"/>
              <w:jc w:val="both"/>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▲双重气泡探测：超声气泡探头，可探测≥50ul的单个气泡，单个气泡大小分50ul、100ul、250ul、500ul、800ul共5档可调，连续气泡监测功能：</w:t>
            </w:r>
            <w:r>
              <w:rPr>
                <w:rFonts w:hint="eastAsia" w:ascii="仿宋" w:hAnsi="仿宋" w:eastAsia="仿宋" w:cs="仿宋"/>
                <w:color w:val="000000" w:themeColor="text1"/>
                <w:kern w:val="0"/>
                <w:sz w:val="21"/>
                <w:szCs w:val="21"/>
                <w:highlight w:val="none"/>
                <w14:textFill>
                  <w14:solidFill>
                    <w14:schemeClr w14:val="tx1"/>
                  </w14:solidFill>
                </w14:textFill>
              </w:rPr>
              <w:t>可以设置每小时0.1-4ml的累积气泡报警阀值，1小时内</w:t>
            </w:r>
            <w:r>
              <w:rPr>
                <w:rFonts w:hint="eastAsia" w:ascii="仿宋" w:hAnsi="仿宋" w:eastAsia="仿宋" w:cs="仿宋"/>
                <w:color w:val="000000" w:themeColor="text1"/>
                <w:sz w:val="21"/>
                <w:szCs w:val="21"/>
                <w:highlight w:val="none"/>
                <w14:textFill>
                  <w14:solidFill>
                    <w14:schemeClr w14:val="tx1"/>
                  </w14:solidFill>
                </w14:textFill>
              </w:rPr>
              <w:t>检测到的累积气泡体积≥设定的报警阈值触发报警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8" w:type="dxa"/>
            <w:vAlign w:val="center"/>
          </w:tcPr>
          <w:p>
            <w:pPr>
              <w:spacing w:line="240" w:lineRule="auto"/>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w:t>
            </w:r>
          </w:p>
        </w:tc>
        <w:tc>
          <w:tcPr>
            <w:tcW w:w="7662" w:type="dxa"/>
            <w:vAlign w:val="center"/>
          </w:tcPr>
          <w:p>
            <w:pPr>
              <w:spacing w:line="240" w:lineRule="auto"/>
              <w:jc w:val="both"/>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▲安全防护可靠，防护类型：CFⅠ、IP34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8" w:type="dxa"/>
            <w:vAlign w:val="center"/>
          </w:tcPr>
          <w:p>
            <w:pPr>
              <w:spacing w:line="240" w:lineRule="auto"/>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w:t>
            </w:r>
          </w:p>
        </w:tc>
        <w:tc>
          <w:tcPr>
            <w:tcW w:w="7662" w:type="dxa"/>
            <w:vAlign w:val="center"/>
          </w:tcPr>
          <w:p>
            <w:pPr>
              <w:spacing w:line="240" w:lineRule="auto"/>
              <w:jc w:val="both"/>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▲当管路阻塞报警时，自动回撤管路压力，避免意外丸剂量伤害患者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78" w:type="dxa"/>
            <w:vAlign w:val="center"/>
          </w:tcPr>
          <w:p>
            <w:pPr>
              <w:spacing w:line="240" w:lineRule="auto"/>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w:t>
            </w:r>
          </w:p>
        </w:tc>
        <w:tc>
          <w:tcPr>
            <w:tcW w:w="7662" w:type="dxa"/>
            <w:vAlign w:val="center"/>
          </w:tcPr>
          <w:p>
            <w:pPr>
              <w:spacing w:line="240" w:lineRule="auto"/>
              <w:jc w:val="both"/>
              <w:rPr>
                <w:rFonts w:hint="eastAsia"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▲压力报警阈值可调</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有≥3挡以上选择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8" w:type="dxa"/>
            <w:vAlign w:val="center"/>
          </w:tcPr>
          <w:p>
            <w:pPr>
              <w:spacing w:line="240" w:lineRule="auto"/>
              <w:jc w:val="both"/>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w:t>
            </w:r>
          </w:p>
        </w:tc>
        <w:tc>
          <w:tcPr>
            <w:tcW w:w="7662" w:type="dxa"/>
            <w:vAlign w:val="center"/>
          </w:tcPr>
          <w:p>
            <w:pPr>
              <w:spacing w:line="240" w:lineRule="auto"/>
              <w:jc w:val="both"/>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▲在线滴定功能：安全不中断输液而更改速率</w:t>
            </w:r>
          </w:p>
        </w:tc>
      </w:tr>
    </w:tbl>
    <w:p>
      <w:pP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br w:type="page"/>
      </w:r>
    </w:p>
    <w:p>
      <w:pPr>
        <w:rPr>
          <w:rFonts w:hint="eastAsia" w:ascii="仿宋" w:hAnsi="仿宋" w:eastAsia="仿宋" w:cs="仿宋"/>
          <w:b/>
          <w:color w:val="000000" w:themeColor="text1"/>
          <w:sz w:val="24"/>
          <w:highlight w:val="none"/>
          <w14:textFill>
            <w14:solidFill>
              <w14:schemeClr w14:val="tx1"/>
            </w14:solidFill>
          </w14:textFill>
        </w:rPr>
      </w:pPr>
    </w:p>
    <w:p>
      <w:pPr>
        <w:numPr>
          <w:ilvl w:val="0"/>
          <w:numId w:val="1"/>
        </w:num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每套设备配置要求：</w:t>
      </w:r>
      <w:r>
        <w:rPr>
          <w:rFonts w:hint="eastAsia" w:ascii="仿宋" w:hAnsi="仿宋" w:eastAsia="仿宋" w:cs="仿宋"/>
          <w:b/>
          <w:color w:val="000000" w:themeColor="text1"/>
          <w:sz w:val="24"/>
          <w:highlight w:val="none"/>
          <w14:textFill>
            <w14:solidFill>
              <w14:schemeClr w14:val="tx1"/>
            </w14:solidFill>
          </w14:textFill>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13"/>
        <w:gridCol w:w="3911"/>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1713" w:type="dxa"/>
          </w:tcPr>
          <w:p>
            <w:pPr>
              <w:spacing w:line="4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p>
        </w:tc>
        <w:tc>
          <w:tcPr>
            <w:tcW w:w="3911" w:type="dxa"/>
          </w:tcPr>
          <w:p>
            <w:pPr>
              <w:spacing w:line="4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要求</w:t>
            </w:r>
          </w:p>
        </w:tc>
        <w:tc>
          <w:tcPr>
            <w:tcW w:w="969" w:type="dxa"/>
          </w:tcPr>
          <w:p>
            <w:pPr>
              <w:spacing w:line="4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w:t>
            </w:r>
          </w:p>
        </w:tc>
        <w:tc>
          <w:tcPr>
            <w:tcW w:w="920" w:type="dxa"/>
          </w:tcPr>
          <w:p>
            <w:pPr>
              <w:spacing w:line="4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1713" w:type="dxa"/>
            <w:vAlign w:val="top"/>
          </w:tcPr>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注射泵</w:t>
            </w:r>
          </w:p>
        </w:tc>
        <w:tc>
          <w:tcPr>
            <w:tcW w:w="3911" w:type="dxa"/>
            <w:vAlign w:val="top"/>
          </w:tcPr>
          <w:p>
            <w:pPr>
              <w:spacing w:line="440" w:lineRule="exact"/>
              <w:rPr>
                <w:rFonts w:hint="eastAsia" w:ascii="仿宋" w:hAnsi="仿宋" w:eastAsia="仿宋" w:cs="仿宋"/>
                <w:color w:val="000000" w:themeColor="text1"/>
                <w:sz w:val="24"/>
                <w:highlight w:val="none"/>
                <w14:textFill>
                  <w14:solidFill>
                    <w14:schemeClr w14:val="tx1"/>
                  </w14:solidFill>
                </w14:textFill>
              </w:rPr>
            </w:pPr>
          </w:p>
        </w:tc>
        <w:tc>
          <w:tcPr>
            <w:tcW w:w="969" w:type="dxa"/>
            <w:vAlign w:val="top"/>
          </w:tcPr>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920" w:type="dxa"/>
            <w:vAlign w:val="top"/>
          </w:tcPr>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p>
        </w:tc>
        <w:tc>
          <w:tcPr>
            <w:tcW w:w="1713" w:type="dxa"/>
            <w:vAlign w:val="top"/>
          </w:tcPr>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中文说明书</w:t>
            </w:r>
          </w:p>
        </w:tc>
        <w:tc>
          <w:tcPr>
            <w:tcW w:w="3911" w:type="dxa"/>
            <w:vAlign w:val="top"/>
          </w:tcPr>
          <w:p>
            <w:pPr>
              <w:spacing w:line="440" w:lineRule="exact"/>
              <w:rPr>
                <w:rFonts w:hint="eastAsia" w:ascii="仿宋" w:hAnsi="仿宋" w:eastAsia="仿宋" w:cs="仿宋"/>
                <w:color w:val="000000" w:themeColor="text1"/>
                <w:sz w:val="24"/>
                <w:highlight w:val="none"/>
                <w14:textFill>
                  <w14:solidFill>
                    <w14:schemeClr w14:val="tx1"/>
                  </w14:solidFill>
                </w14:textFill>
              </w:rPr>
            </w:pPr>
          </w:p>
        </w:tc>
        <w:tc>
          <w:tcPr>
            <w:tcW w:w="969" w:type="dxa"/>
            <w:vAlign w:val="top"/>
          </w:tcPr>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920" w:type="dxa"/>
            <w:vAlign w:val="top"/>
          </w:tcPr>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p>
        </w:tc>
        <w:tc>
          <w:tcPr>
            <w:tcW w:w="1713"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中文操作卡</w:t>
            </w:r>
          </w:p>
        </w:tc>
        <w:tc>
          <w:tcPr>
            <w:tcW w:w="3911"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p>
        </w:tc>
        <w:tc>
          <w:tcPr>
            <w:tcW w:w="969"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920"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p>
        </w:tc>
        <w:tc>
          <w:tcPr>
            <w:tcW w:w="1713"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保修卡</w:t>
            </w:r>
          </w:p>
        </w:tc>
        <w:tc>
          <w:tcPr>
            <w:tcW w:w="3911"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p>
        </w:tc>
        <w:tc>
          <w:tcPr>
            <w:tcW w:w="969"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920"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p>
        </w:tc>
        <w:tc>
          <w:tcPr>
            <w:tcW w:w="1713"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合格证</w:t>
            </w:r>
          </w:p>
        </w:tc>
        <w:tc>
          <w:tcPr>
            <w:tcW w:w="3911"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p>
        </w:tc>
        <w:tc>
          <w:tcPr>
            <w:tcW w:w="969"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920"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w:t>
            </w:r>
          </w:p>
        </w:tc>
        <w:tc>
          <w:tcPr>
            <w:tcW w:w="1713"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托盘</w:t>
            </w:r>
          </w:p>
        </w:tc>
        <w:tc>
          <w:tcPr>
            <w:tcW w:w="3911"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p>
        </w:tc>
        <w:tc>
          <w:tcPr>
            <w:tcW w:w="969"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920"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w:t>
            </w:r>
          </w:p>
        </w:tc>
        <w:tc>
          <w:tcPr>
            <w:tcW w:w="1713"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电源线</w:t>
            </w:r>
          </w:p>
        </w:tc>
        <w:tc>
          <w:tcPr>
            <w:tcW w:w="3911"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p>
        </w:tc>
        <w:tc>
          <w:tcPr>
            <w:tcW w:w="969"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920"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w:t>
            </w:r>
          </w:p>
        </w:tc>
        <w:tc>
          <w:tcPr>
            <w:tcW w:w="1713"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装箱清单</w:t>
            </w:r>
          </w:p>
        </w:tc>
        <w:tc>
          <w:tcPr>
            <w:tcW w:w="3911"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p>
        </w:tc>
        <w:tc>
          <w:tcPr>
            <w:tcW w:w="969"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920" w:type="dxa"/>
            <w:vAlign w:val="top"/>
          </w:tcPr>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张</w:t>
            </w:r>
          </w:p>
        </w:tc>
      </w:tr>
    </w:tbl>
    <w:p>
      <w:pPr>
        <w:spacing w:line="440" w:lineRule="exact"/>
        <w:rPr>
          <w:rFonts w:hint="eastAsia" w:ascii="仿宋" w:hAnsi="仿宋" w:eastAsia="仿宋" w:cs="仿宋"/>
          <w:b/>
          <w:color w:val="000000" w:themeColor="text1"/>
          <w:sz w:val="24"/>
          <w:highlight w:val="none"/>
          <w14:textFill>
            <w14:solidFill>
              <w14:schemeClr w14:val="tx1"/>
            </w14:solidFill>
          </w14:textFill>
        </w:rPr>
      </w:pPr>
    </w:p>
    <w:p>
      <w:pPr>
        <w:numPr>
          <w:ilvl w:val="0"/>
          <w:numId w:val="1"/>
        </w:num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商务要求：</w:t>
      </w:r>
    </w:p>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1.交货及安装、验收要求</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1.1交货地点：采购人指定地点。</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30</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日内完成设备的安装调试。合同设备交付时中标供应商应提供合同设备真实有效的生产日期，且保证合同设备的生产日期距交付时的时间差不超过</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6</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1.3中标供应商须保证中标后所提供的设备为原装、全新合格的产品。</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1.5验收方式：按《小榄镇公立医院政府采购和验收办法》。</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★1.6投标供应商须要在投标文件做出具承诺函，该承诺函包括但不限于以下内容:</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承诺中标后须在中标公告发布之日起五个工作日内提供设备制造厂商开具并盖章的合法有效的授权函原件（盖鲜章）、售后服务承诺函原件（盖鲜章）。</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1.7 </w:t>
      </w:r>
      <w:r>
        <w:rPr>
          <w:rFonts w:hint="eastAsia" w:ascii="仿宋" w:hAnsi="仿宋" w:eastAsia="仿宋" w:cs="仿宋"/>
          <w:color w:val="000000" w:themeColor="text1"/>
          <w:sz w:val="24"/>
          <w:highlight w:val="none"/>
          <w14:textFill>
            <w14:solidFill>
              <w14:schemeClr w14:val="tx1"/>
            </w14:solidFill>
          </w14:textFill>
        </w:rPr>
        <w:t>乙方所投设备属于计量仪器的，需通过具有国家部门颁发专业检测资质证书的第三方计量检测单位检测并提供合格报告。</w:t>
      </w:r>
    </w:p>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2.售后服务要求</w:t>
      </w:r>
    </w:p>
    <w:p>
      <w:pPr>
        <w:tabs>
          <w:tab w:val="left" w:pos="420"/>
        </w:tabs>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2.1中标供应商必须在中国境内有售后服务机构，并附有售后服务能力说明。</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★2.2中标供应商须提供设备原厂质保（设备原厂质量保修范围和保修期）至少为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3</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2.3在售后期内，中标供应商在接到用户的维修通知，响应时间为半小时内，工程师到达现场时间为4小时内，排除故障时限为到达现场后8小时内。</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3.付款方式</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★3.1本合同的每笔款项以人民币转账方式支付，合同设备到采购人指定地点交付并完成安装，验收合格后，中标单位凭：</w:t>
      </w:r>
    </w:p>
    <w:p>
      <w:pPr>
        <w:spacing w:line="44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（1）合同；</w:t>
      </w:r>
    </w:p>
    <w:p>
      <w:pPr>
        <w:spacing w:line="44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（2）验收调试合格报告（加盖采购人公章）；</w:t>
      </w:r>
    </w:p>
    <w:p>
      <w:pPr>
        <w:spacing w:line="44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（3）中标供应商开具的正式发票（加盖发票专用章）。</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w:t>
      </w:r>
      <w:r>
        <w:rPr>
          <w:rFonts w:hint="eastAsia" w:ascii="仿宋" w:hAnsi="仿宋" w:eastAsia="仿宋" w:cs="仿宋"/>
          <w:color w:val="000000" w:themeColor="text1"/>
          <w:sz w:val="24"/>
          <w:highlight w:val="none"/>
          <w14:textFill>
            <w14:solidFill>
              <w14:schemeClr w14:val="tx1"/>
            </w14:solidFill>
          </w14:textFill>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3</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年后无息支付。</w:t>
      </w:r>
    </w:p>
    <w:p>
      <w:pPr>
        <w:spacing w:line="440" w:lineRule="exact"/>
        <w:rPr>
          <w:rFonts w:hint="eastAsia" w:ascii="仿宋" w:hAnsi="仿宋" w:eastAsia="仿宋" w:cs="仿宋"/>
          <w:color w:val="000000" w:themeColor="text1"/>
          <w:sz w:val="24"/>
          <w:highlight w:val="none"/>
          <w14:textFill>
            <w14:solidFill>
              <w14:schemeClr w14:val="tx1"/>
            </w14:solidFill>
          </w14:textFill>
        </w:rPr>
      </w:pPr>
    </w:p>
    <w:sectPr>
      <w:footerReference r:id="rId3"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准圆简体">
    <w:altName w:val="宋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pPr>
          <w:pStyle w:val="6"/>
        </w:pPr>
        <w:r>
          <w:rPr>
            <w:rFonts w:hint="eastAsia"/>
          </w:rPr>
          <w:t>参数制定人：                                审核人：</w:t>
        </w:r>
        <w:r>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path/>
              <v:fill on="f" focussize="0,0"/>
              <v:stroke on="f" joinstyle="miter"/>
              <v:imagedata o:title=""/>
              <o:lock v:ext="edit"/>
              <v:textbox inset="0mm,0mm,0mm,0mm" style="mso-fit-shape-to-text:t;">
                <w:txbxContent>
                  <w:p>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txbxContent>
              </v:textbox>
            </v:shape>
          </w:pict>
        </w:r>
      </w:p>
      <w:p>
        <w:pPr>
          <w:pStyle w:val="6"/>
        </w:pP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E8738"/>
    <w:multiLevelType w:val="singleLevel"/>
    <w:tmpl w:val="1E7E87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k1Y2NhZTU4NDE5NmQxMzI0MzkzODIyZGUxNDI0MjkifQ=="/>
  </w:docVars>
  <w:rsids>
    <w:rsidRoot w:val="027725AF"/>
    <w:rsid w:val="00000267"/>
    <w:rsid w:val="00000AF6"/>
    <w:rsid w:val="000037D6"/>
    <w:rsid w:val="00016B72"/>
    <w:rsid w:val="00036444"/>
    <w:rsid w:val="00043BEF"/>
    <w:rsid w:val="00065257"/>
    <w:rsid w:val="000C5864"/>
    <w:rsid w:val="000E371B"/>
    <w:rsid w:val="00136269"/>
    <w:rsid w:val="00152E6E"/>
    <w:rsid w:val="001564F2"/>
    <w:rsid w:val="00164D4A"/>
    <w:rsid w:val="00194BEB"/>
    <w:rsid w:val="001D1D4A"/>
    <w:rsid w:val="001F6B01"/>
    <w:rsid w:val="00215636"/>
    <w:rsid w:val="0022457A"/>
    <w:rsid w:val="00227ED6"/>
    <w:rsid w:val="00234D13"/>
    <w:rsid w:val="002616DE"/>
    <w:rsid w:val="00293A7C"/>
    <w:rsid w:val="002B3DB8"/>
    <w:rsid w:val="002B5F04"/>
    <w:rsid w:val="002E2203"/>
    <w:rsid w:val="002F4E01"/>
    <w:rsid w:val="00341440"/>
    <w:rsid w:val="00342A89"/>
    <w:rsid w:val="00342D38"/>
    <w:rsid w:val="00345474"/>
    <w:rsid w:val="003662C2"/>
    <w:rsid w:val="0037094F"/>
    <w:rsid w:val="003A7C0C"/>
    <w:rsid w:val="003F6DDB"/>
    <w:rsid w:val="00411292"/>
    <w:rsid w:val="0041569C"/>
    <w:rsid w:val="004312C9"/>
    <w:rsid w:val="00440D87"/>
    <w:rsid w:val="00464791"/>
    <w:rsid w:val="00467A71"/>
    <w:rsid w:val="004A1404"/>
    <w:rsid w:val="004C01AB"/>
    <w:rsid w:val="004C251B"/>
    <w:rsid w:val="005002B7"/>
    <w:rsid w:val="00507EB2"/>
    <w:rsid w:val="0052211A"/>
    <w:rsid w:val="00524703"/>
    <w:rsid w:val="0053033B"/>
    <w:rsid w:val="00535647"/>
    <w:rsid w:val="005472B7"/>
    <w:rsid w:val="00553084"/>
    <w:rsid w:val="0055425D"/>
    <w:rsid w:val="00585CA9"/>
    <w:rsid w:val="00587AFC"/>
    <w:rsid w:val="005A38AB"/>
    <w:rsid w:val="005C193F"/>
    <w:rsid w:val="005D041B"/>
    <w:rsid w:val="005D4C82"/>
    <w:rsid w:val="00607917"/>
    <w:rsid w:val="00643222"/>
    <w:rsid w:val="00646CFF"/>
    <w:rsid w:val="006933D1"/>
    <w:rsid w:val="00695736"/>
    <w:rsid w:val="006A0103"/>
    <w:rsid w:val="006B3174"/>
    <w:rsid w:val="00702D3D"/>
    <w:rsid w:val="007273E2"/>
    <w:rsid w:val="00752334"/>
    <w:rsid w:val="00762772"/>
    <w:rsid w:val="0077615F"/>
    <w:rsid w:val="007943B1"/>
    <w:rsid w:val="007A320E"/>
    <w:rsid w:val="007A3E4E"/>
    <w:rsid w:val="007B6779"/>
    <w:rsid w:val="007D756B"/>
    <w:rsid w:val="007E3690"/>
    <w:rsid w:val="007E613A"/>
    <w:rsid w:val="007F2B11"/>
    <w:rsid w:val="007F33E6"/>
    <w:rsid w:val="007F772E"/>
    <w:rsid w:val="00852381"/>
    <w:rsid w:val="008639CD"/>
    <w:rsid w:val="00876B88"/>
    <w:rsid w:val="008A5819"/>
    <w:rsid w:val="008A6F6D"/>
    <w:rsid w:val="008F4E7C"/>
    <w:rsid w:val="008F6ACD"/>
    <w:rsid w:val="0092262F"/>
    <w:rsid w:val="00950093"/>
    <w:rsid w:val="009670EA"/>
    <w:rsid w:val="009852DA"/>
    <w:rsid w:val="009B3DE4"/>
    <w:rsid w:val="009B5110"/>
    <w:rsid w:val="009C06B8"/>
    <w:rsid w:val="009C60B9"/>
    <w:rsid w:val="009F5D10"/>
    <w:rsid w:val="00A13374"/>
    <w:rsid w:val="00A67329"/>
    <w:rsid w:val="00AB5743"/>
    <w:rsid w:val="00AC3F2C"/>
    <w:rsid w:val="00B10D67"/>
    <w:rsid w:val="00B22E91"/>
    <w:rsid w:val="00B72C76"/>
    <w:rsid w:val="00B77F33"/>
    <w:rsid w:val="00BA0DB4"/>
    <w:rsid w:val="00BC3D3B"/>
    <w:rsid w:val="00BC522A"/>
    <w:rsid w:val="00BE1E32"/>
    <w:rsid w:val="00C23FE8"/>
    <w:rsid w:val="00C5781C"/>
    <w:rsid w:val="00C61C7C"/>
    <w:rsid w:val="00C8369A"/>
    <w:rsid w:val="00C97C1D"/>
    <w:rsid w:val="00CD392D"/>
    <w:rsid w:val="00CF6139"/>
    <w:rsid w:val="00D00163"/>
    <w:rsid w:val="00D076B0"/>
    <w:rsid w:val="00D46D87"/>
    <w:rsid w:val="00D47646"/>
    <w:rsid w:val="00D92351"/>
    <w:rsid w:val="00D932D0"/>
    <w:rsid w:val="00DC1A43"/>
    <w:rsid w:val="00DE74A8"/>
    <w:rsid w:val="00E21F2C"/>
    <w:rsid w:val="00E30BCE"/>
    <w:rsid w:val="00E35651"/>
    <w:rsid w:val="00E60436"/>
    <w:rsid w:val="00E62950"/>
    <w:rsid w:val="00E62ED3"/>
    <w:rsid w:val="00E71C5B"/>
    <w:rsid w:val="00EA68FA"/>
    <w:rsid w:val="00EC3435"/>
    <w:rsid w:val="00F066CA"/>
    <w:rsid w:val="00F42A70"/>
    <w:rsid w:val="00F75603"/>
    <w:rsid w:val="00F801B8"/>
    <w:rsid w:val="00F82B4B"/>
    <w:rsid w:val="00FA3C7F"/>
    <w:rsid w:val="00FE1DDB"/>
    <w:rsid w:val="00FF4826"/>
    <w:rsid w:val="016320EC"/>
    <w:rsid w:val="019F636B"/>
    <w:rsid w:val="027725AF"/>
    <w:rsid w:val="02BB05E3"/>
    <w:rsid w:val="02EE3F1A"/>
    <w:rsid w:val="03C41772"/>
    <w:rsid w:val="0636392C"/>
    <w:rsid w:val="0D0830C0"/>
    <w:rsid w:val="0D7E0716"/>
    <w:rsid w:val="0E241A06"/>
    <w:rsid w:val="0E553BD5"/>
    <w:rsid w:val="108341D3"/>
    <w:rsid w:val="126775F5"/>
    <w:rsid w:val="140524A5"/>
    <w:rsid w:val="14A8633C"/>
    <w:rsid w:val="17A84A31"/>
    <w:rsid w:val="18AC198D"/>
    <w:rsid w:val="195F5F86"/>
    <w:rsid w:val="1A362D0A"/>
    <w:rsid w:val="1A9A1AE2"/>
    <w:rsid w:val="1B7A09AE"/>
    <w:rsid w:val="1DB403E5"/>
    <w:rsid w:val="1F0C2891"/>
    <w:rsid w:val="1FF004A0"/>
    <w:rsid w:val="21F75571"/>
    <w:rsid w:val="234C2589"/>
    <w:rsid w:val="243E0123"/>
    <w:rsid w:val="26AC3567"/>
    <w:rsid w:val="27094723"/>
    <w:rsid w:val="28E070A3"/>
    <w:rsid w:val="28ED4356"/>
    <w:rsid w:val="2A697EC4"/>
    <w:rsid w:val="2A710EAE"/>
    <w:rsid w:val="2B9A59A4"/>
    <w:rsid w:val="2CDE6947"/>
    <w:rsid w:val="2CEB4BC0"/>
    <w:rsid w:val="2D887C39"/>
    <w:rsid w:val="2D993838"/>
    <w:rsid w:val="2E110DC4"/>
    <w:rsid w:val="2F2C1714"/>
    <w:rsid w:val="32B11F30"/>
    <w:rsid w:val="33712CFE"/>
    <w:rsid w:val="33895773"/>
    <w:rsid w:val="3C740147"/>
    <w:rsid w:val="3C92069F"/>
    <w:rsid w:val="3D0641E1"/>
    <w:rsid w:val="3E9B4363"/>
    <w:rsid w:val="3EEE625E"/>
    <w:rsid w:val="411354A0"/>
    <w:rsid w:val="443A5766"/>
    <w:rsid w:val="44746547"/>
    <w:rsid w:val="46B34549"/>
    <w:rsid w:val="474C312A"/>
    <w:rsid w:val="4B846C0D"/>
    <w:rsid w:val="4BF76F64"/>
    <w:rsid w:val="4CDF517D"/>
    <w:rsid w:val="4D8B6D06"/>
    <w:rsid w:val="4DBD5EE2"/>
    <w:rsid w:val="4EBD0A92"/>
    <w:rsid w:val="50964CC0"/>
    <w:rsid w:val="51C23892"/>
    <w:rsid w:val="543F566E"/>
    <w:rsid w:val="55C0121A"/>
    <w:rsid w:val="579F1125"/>
    <w:rsid w:val="5A3921D0"/>
    <w:rsid w:val="5BDE39BF"/>
    <w:rsid w:val="5DC71851"/>
    <w:rsid w:val="5E000C56"/>
    <w:rsid w:val="5F796940"/>
    <w:rsid w:val="60F90A67"/>
    <w:rsid w:val="61E91FBC"/>
    <w:rsid w:val="656A70AF"/>
    <w:rsid w:val="658904F7"/>
    <w:rsid w:val="66AA15BF"/>
    <w:rsid w:val="69340CF8"/>
    <w:rsid w:val="6B624500"/>
    <w:rsid w:val="6B7C465A"/>
    <w:rsid w:val="6C171CF3"/>
    <w:rsid w:val="6C7A6DEC"/>
    <w:rsid w:val="6DDF526D"/>
    <w:rsid w:val="6FEF5856"/>
    <w:rsid w:val="724779E5"/>
    <w:rsid w:val="73A3131E"/>
    <w:rsid w:val="744B3E55"/>
    <w:rsid w:val="75090834"/>
    <w:rsid w:val="787B0173"/>
    <w:rsid w:val="79336CA0"/>
    <w:rsid w:val="7ACC115A"/>
    <w:rsid w:val="7BDA70B6"/>
    <w:rsid w:val="7C115C9E"/>
    <w:rsid w:val="7E2C2E60"/>
    <w:rsid w:val="7E4C2F38"/>
    <w:rsid w:val="7EA2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widowControl/>
      <w:jc w:val="left"/>
    </w:pPr>
    <w:rPr>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6"/>
    <w:qFormat/>
    <w:uiPriority w:val="0"/>
    <w:pPr>
      <w:widowControl w:val="0"/>
    </w:pPr>
    <w:rPr>
      <w:b/>
      <w:bCs/>
      <w:kern w:val="2"/>
      <w:szCs w:val="24"/>
    </w:rPr>
  </w:style>
  <w:style w:type="paragraph" w:styleId="9">
    <w:name w:val="Body Text First Indent"/>
    <w:basedOn w:val="3"/>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character" w:customStyle="1" w:styleId="15">
    <w:name w:val="批注文字 Char"/>
    <w:basedOn w:val="12"/>
    <w:link w:val="2"/>
    <w:qFormat/>
    <w:uiPriority w:val="0"/>
    <w:rPr>
      <w:rFonts w:asciiTheme="minorHAnsi" w:hAnsiTheme="minorHAnsi" w:eastAsiaTheme="minorEastAsia" w:cstheme="minorBidi"/>
      <w:sz w:val="21"/>
    </w:rPr>
  </w:style>
  <w:style w:type="character" w:customStyle="1" w:styleId="16">
    <w:name w:val="批注主题 Char"/>
    <w:basedOn w:val="15"/>
    <w:link w:val="8"/>
    <w:qFormat/>
    <w:uiPriority w:val="0"/>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脚 Char"/>
    <w:basedOn w:val="12"/>
    <w:link w:val="6"/>
    <w:qFormat/>
    <w:uiPriority w:val="99"/>
    <w:rPr>
      <w:rFonts w:asciiTheme="minorHAnsi" w:hAnsiTheme="minorHAnsi" w:eastAsiaTheme="minorEastAsia" w:cstheme="minorBidi"/>
      <w:kern w:val="2"/>
      <w:sz w:val="18"/>
      <w:szCs w:val="24"/>
    </w:rPr>
  </w:style>
  <w:style w:type="character" w:customStyle="1" w:styleId="20">
    <w:name w:val="fontstyle01"/>
    <w:basedOn w:val="12"/>
    <w:qFormat/>
    <w:uiPriority w:val="0"/>
    <w:rPr>
      <w:rFonts w:ascii="宋体" w:hAnsi="宋体" w:eastAsia="宋体" w:cs="宋体"/>
      <w:color w:val="000000"/>
      <w:sz w:val="18"/>
      <w:szCs w:val="18"/>
    </w:rPr>
  </w:style>
  <w:style w:type="paragraph" w:customStyle="1" w:styleId="21">
    <w:name w:val="p15"/>
    <w:basedOn w:val="1"/>
    <w:qFormat/>
    <w:uiPriority w:val="0"/>
    <w:pPr>
      <w:snapToGrid/>
      <w:spacing w:after="0"/>
    </w:pPr>
    <w:rPr>
      <w:rFonts w:ascii="Arial Unicode MS" w:hAnsi="Arial Unicode MS" w:eastAsia="宋体" w:cs="宋体"/>
      <w:color w:val="000000"/>
      <w:sz w:val="24"/>
      <w:szCs w:val="24"/>
    </w:rPr>
  </w:style>
  <w:style w:type="paragraph" w:customStyle="1" w:styleId="22">
    <w:name w:val="Default"/>
    <w:qFormat/>
    <w:uiPriority w:val="0"/>
    <w:pPr>
      <w:widowControl w:val="0"/>
      <w:autoSpaceDE w:val="0"/>
      <w:autoSpaceDN w:val="0"/>
      <w:adjustRightInd w:val="0"/>
    </w:pPr>
    <w:rPr>
      <w:rFonts w:ascii="Arial Unicode MS" w:eastAsia="Arial Unicode MS" w:cs="Arial Unicode MS"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C610DB-4B3F-4D99-95AE-47EF4E6CA338}">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5</Pages>
  <Words>2160</Words>
  <Characters>2301</Characters>
  <Lines>11</Lines>
  <Paragraphs>3</Paragraphs>
  <TotalTime>71</TotalTime>
  <ScaleCrop>false</ScaleCrop>
  <LinksUpToDate>false</LinksUpToDate>
  <CharactersWithSpaces>2327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2022-08-02T02:50:00Z</dcterms:created>
  <dc:creator>ye</dc:creator>
  <cp:lastModifiedBy>多多娘亲</cp:lastModifiedBy>
  <cp:lastPrinted>2022-09-30T08:14:46Z</cp:lastPrinted>
  <dcterms:modified xsi:type="dcterms:W3CDTF">2022-09-30T10:40:31Z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D174C2C98887460CB11414CA33FE832D</vt:lpwstr>
  </property>
</Properties>
</file>