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2" w:firstLineChars="200"/>
        <w:outlineLvl w:val="1"/>
        <w:rPr>
          <w:rFonts w:ascii="宋体" w:hAnsi="宋体" w:cs="宋体"/>
          <w:b/>
          <w:szCs w:val="21"/>
        </w:rPr>
      </w:pPr>
      <w:r>
        <w:rPr>
          <w:rFonts w:hint="eastAsia" w:ascii="宋体" w:hAnsi="宋体" w:cs="宋体"/>
          <w:b/>
          <w:szCs w:val="21"/>
        </w:rPr>
        <w:t>（一）基本要求</w:t>
      </w:r>
    </w:p>
    <w:p>
      <w:pPr>
        <w:spacing w:line="360" w:lineRule="auto"/>
        <w:ind w:firstLine="420" w:firstLineChars="200"/>
        <w:rPr>
          <w:rFonts w:hint="eastAsia" w:ascii="宋体" w:hAnsi="宋体" w:eastAsia="宋体"/>
          <w:color w:val="000000" w:themeColor="text1"/>
          <w:sz w:val="18"/>
          <w:szCs w:val="18"/>
          <w14:textFill>
            <w14:solidFill>
              <w14:schemeClr w14:val="tx1"/>
            </w14:solidFill>
          </w14:textFill>
        </w:rPr>
      </w:pPr>
      <w:r>
        <w:rPr>
          <w:rFonts w:hint="eastAsia" w:ascii="宋体" w:hAnsi="宋体" w:cs="宋体"/>
          <w:szCs w:val="21"/>
          <w:lang w:val="en-US" w:eastAsia="zh-CN"/>
        </w:rPr>
        <w:t>1、资质要求：</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rPr>
        <w:t>供应商具有独立承担民事责任能力的在中华人民共和国境内注册的法人或其他组织营业执照，经营范围含项目相关内容</w:t>
      </w:r>
      <w:r>
        <w:rPr>
          <w:rFonts w:hint="eastAsia" w:ascii="宋体" w:hAnsi="宋体" w:cs="宋体"/>
          <w:szCs w:val="21"/>
          <w:lang w:eastAsia="zh-CN"/>
        </w:rPr>
        <w:t>；</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lang w:eastAsia="zh-CN"/>
        </w:rPr>
        <w:t>）响应供应商务须具有有效的且具备相关经营范围的营业执照；</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）响应供应商应具有项目的承接能力、合同的履约能力、售后服务能力和良好的信誉。</w:t>
      </w:r>
    </w:p>
    <w:p>
      <w:pPr>
        <w:spacing w:line="360" w:lineRule="auto"/>
        <w:ind w:firstLine="420" w:firstLineChars="200"/>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交货地点：中山市小榄人民医院日用品仓库</w:t>
      </w:r>
    </w:p>
    <w:p>
      <w:pPr>
        <w:numPr>
          <w:ilvl w:val="0"/>
          <w:numId w:val="0"/>
        </w:numPr>
        <w:spacing w:line="360" w:lineRule="auto"/>
        <w:ind w:firstLine="210" w:firstLineChars="100"/>
        <w:rPr>
          <w:rFonts w:ascii="宋体" w:hAnsi="宋体" w:cs="宋体"/>
          <w:color w:val="auto"/>
          <w:szCs w:val="21"/>
          <w:highlight w:val="none"/>
        </w:rPr>
      </w:pPr>
      <w:r>
        <w:rPr>
          <w:rFonts w:hint="eastAsia" w:ascii="宋体" w:hAnsi="宋体"/>
          <w:color w:val="000000"/>
          <w:szCs w:val="21"/>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供货期限：</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w:t>
      </w:r>
      <w:r>
        <w:rPr>
          <w:rFonts w:hint="eastAsia" w:ascii="宋体" w:hAnsi="宋体" w:eastAsia="宋体" w:cs="Times New Roman"/>
          <w:color w:val="auto"/>
          <w:kern w:val="2"/>
          <w:sz w:val="21"/>
          <w:szCs w:val="21"/>
          <w:lang w:val="en-US" w:eastAsia="zh-CN" w:bidi="ar-SA"/>
        </w:rPr>
        <w:t xml:space="preserve">如在供货期内，采购人对成交供应商所提供的货物不满意（在使用过程中发现以次充好或使用假冒伪劣产品2次以上的或超过规定交货期限30天成交供应商仍不能交货的），采购人有权单方终止合同。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val="en-US" w:eastAsia="zh-CN"/>
        </w:rPr>
        <w:t>4、</w:t>
      </w:r>
      <w:r>
        <w:rPr>
          <w:rFonts w:hint="eastAsia" w:ascii="宋体" w:hAnsi="宋体" w:cs="宋体"/>
          <w:szCs w:val="21"/>
          <w:highlight w:val="none"/>
        </w:rPr>
        <w:t>本项目</w:t>
      </w:r>
      <w:r>
        <w:rPr>
          <w:rFonts w:hint="eastAsia" w:ascii="宋体" w:hAnsi="宋体" w:eastAsia="宋体"/>
          <w:color w:val="000000"/>
          <w:szCs w:val="21"/>
          <w:highlight w:val="none"/>
        </w:rPr>
        <w:t>预算金额</w:t>
      </w:r>
      <w:r>
        <w:rPr>
          <w:rFonts w:hint="eastAsia" w:ascii="宋体" w:hAnsi="宋体"/>
          <w:color w:val="000000"/>
          <w:szCs w:val="21"/>
          <w:highlight w:val="none"/>
          <w:lang w:val="en-US" w:eastAsia="zh-CN"/>
        </w:rPr>
        <w:t>总价上限</w:t>
      </w:r>
      <w:r>
        <w:rPr>
          <w:rFonts w:hint="eastAsia" w:ascii="宋体" w:hAnsi="宋体" w:eastAsia="宋体"/>
          <w:color w:val="000000"/>
          <w:szCs w:val="21"/>
          <w:highlight w:val="none"/>
        </w:rPr>
        <w:t>为</w:t>
      </w:r>
      <w:r>
        <w:rPr>
          <w:rFonts w:hint="eastAsia" w:ascii="宋体" w:hAnsi="宋体" w:cs="宋体"/>
          <w:szCs w:val="21"/>
          <w:highlight w:val="none"/>
        </w:rPr>
        <w:t>为</w:t>
      </w:r>
      <w:r>
        <w:rPr>
          <w:rFonts w:hint="eastAsia" w:ascii="宋体" w:hAnsi="宋体" w:cs="宋体"/>
          <w:szCs w:val="21"/>
          <w:highlight w:val="none"/>
          <w:u w:val="single"/>
          <w:lang w:val="en-US" w:eastAsia="zh-CN"/>
        </w:rPr>
        <w:t>¥95000</w:t>
      </w:r>
      <w:r>
        <w:rPr>
          <w:rFonts w:hint="eastAsia" w:ascii="宋体" w:hAnsi="宋体" w:cs="宋体"/>
          <w:szCs w:val="21"/>
          <w:highlight w:val="none"/>
        </w:rPr>
        <w:t>元</w:t>
      </w:r>
      <w:r>
        <w:rPr>
          <w:rFonts w:hint="eastAsia" w:ascii="宋体" w:hAnsi="宋体" w:cs="宋体"/>
          <w:szCs w:val="21"/>
          <w:highlight w:val="none"/>
          <w:lang w:eastAsia="zh-CN"/>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交货方式：</w:t>
      </w:r>
    </w:p>
    <w:p>
      <w:pPr>
        <w:numPr>
          <w:ilvl w:val="0"/>
          <w:numId w:val="1"/>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在收到采购人下单通知后</w:t>
      </w:r>
      <w:r>
        <w:rPr>
          <w:rFonts w:hint="eastAsia" w:ascii="宋体" w:hAnsi="宋体" w:cs="宋体"/>
          <w:color w:val="auto"/>
          <w:szCs w:val="21"/>
          <w:u w:val="single"/>
          <w:lang w:val="en-US" w:eastAsia="zh-CN"/>
        </w:rPr>
        <w:t>5</w:t>
      </w:r>
      <w:r>
        <w:rPr>
          <w:rFonts w:hint="eastAsia" w:ascii="宋体" w:hAnsi="宋体" w:cs="宋体"/>
          <w:color w:val="auto"/>
          <w:szCs w:val="21"/>
        </w:rPr>
        <w:t>个工作日内把指定货物交付到中山市小榄人民医院。</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lang w:val="en-US" w:eastAsia="zh-CN"/>
        </w:rPr>
        <w:t>成交供应商逾期交货的，则每逾期一天按合同总价的5‰支付违约金给采购人。如超过合同规定交货期限10天成交供应商仍不能交货的，则视为成交供应商不能交货，成交供应商不能交货的，则按合同总价10%支付违约金给采购人。同时，采购人有权单方面解除合同。如上述违约金的金额仍不足以补偿采购人因成交供应商违约造成的损失，采购人有权进一步向成交供应商提出索赔。</w:t>
      </w:r>
    </w:p>
    <w:p>
      <w:pPr>
        <w:spacing w:line="360" w:lineRule="auto"/>
        <w:ind w:firstLine="420" w:firstLineChars="200"/>
        <w:rPr>
          <w:rFonts w:ascii="宋体" w:hAnsi="宋体" w:cs="宋体"/>
          <w:color w:val="FF0000"/>
          <w:szCs w:val="21"/>
        </w:rPr>
      </w:pPr>
      <w:r>
        <w:rPr>
          <w:rFonts w:hint="eastAsia" w:ascii="宋体" w:hAnsi="宋体" w:cs="宋体"/>
          <w:szCs w:val="21"/>
          <w:lang w:val="en-US" w:eastAsia="zh-CN"/>
        </w:rPr>
        <w:t>6、</w:t>
      </w:r>
      <w:r>
        <w:rPr>
          <w:rFonts w:hint="eastAsia" w:ascii="宋体" w:hAnsi="宋体" w:cs="宋体"/>
          <w:szCs w:val="21"/>
        </w:rPr>
        <w:t>成交供应商不得以任何方式转包或分包本项目，否则视为成交供应商毁约。</w:t>
      </w:r>
    </w:p>
    <w:p>
      <w:pPr>
        <w:spacing w:line="360" w:lineRule="auto"/>
        <w:ind w:firstLine="420" w:firstLineChars="200"/>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在协议供货期内，如产品遇到停产情况的，成交供应商需提前15天书面告知采购人并经采购人同意后，提供等同于或优于原参数的产品供采购人使用，不得断供。</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采购人无法预计也无法保证向成交供应商采购的品种及数量,采购人按照本单位使用情况下单所需物品数量，成交供应商不得对采购人所采购物品数量作要求或质疑。</w:t>
      </w:r>
    </w:p>
    <w:p>
      <w:pPr>
        <w:numPr>
          <w:ilvl w:val="0"/>
          <w:numId w:val="0"/>
        </w:numPr>
        <w:spacing w:line="360" w:lineRule="auto"/>
        <w:ind w:leftChars="0" w:firstLine="420" w:firstLineChars="200"/>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新冠肺炎疫情期间，成交供应商送货时应按国家防疫要求及采购人相关要求</w:t>
      </w:r>
      <w:r>
        <w:rPr>
          <w:rFonts w:hint="eastAsia" w:ascii="宋体" w:hAnsi="宋体" w:cs="宋体"/>
          <w:szCs w:val="21"/>
          <w:lang w:eastAsia="zh-CN"/>
        </w:rPr>
        <w:t>，</w:t>
      </w:r>
      <w:r>
        <w:rPr>
          <w:rFonts w:hint="eastAsia" w:ascii="宋体" w:hAnsi="宋体" w:cs="宋体"/>
          <w:szCs w:val="21"/>
          <w:lang w:val="en-US" w:eastAsia="zh-CN"/>
        </w:rPr>
        <w:t>积积</w:t>
      </w:r>
      <w:r>
        <w:rPr>
          <w:rFonts w:hint="eastAsia" w:ascii="宋体" w:hAnsi="宋体" w:cs="宋体"/>
          <w:szCs w:val="21"/>
        </w:rPr>
        <w:t>配合做好防疫工作。</w:t>
      </w:r>
    </w:p>
    <w:p>
      <w:pPr>
        <w:numPr>
          <w:ilvl w:val="0"/>
          <w:numId w:val="0"/>
        </w:numPr>
        <w:spacing w:line="360" w:lineRule="auto"/>
        <w:ind w:leftChars="0" w:firstLine="420" w:firstLineChars="200"/>
        <w:rPr>
          <w:rFonts w:hint="eastAsia" w:ascii="宋体" w:hAnsi="宋体" w:cs="宋体"/>
          <w:szCs w:val="21"/>
          <w:lang w:val="en-US" w:eastAsia="zh-CN"/>
        </w:rPr>
      </w:pPr>
      <w:r>
        <w:rPr>
          <w:rFonts w:hint="eastAsia" w:ascii="宋体" w:hAnsi="宋体" w:cs="宋体"/>
          <w:szCs w:val="21"/>
          <w:lang w:val="en-US" w:eastAsia="zh-CN"/>
        </w:rPr>
        <w:t>10、本次采购只进行供应商供货资格的招标，本次招标为协议供货资格的取得，并不代表货物已售出，采购人无法预计也无法保证向成交供应商采购的数量。采购人按照本单位使用情况下单所需货物数量，成交供应商不得对采购人所采购货物数量作要求或质疑。本项目的采购数量为一年内预计发生量，结算时以实际发生量为准。本项目以供货期满或项目预算使用完毕为结束时间点。</w:t>
      </w:r>
    </w:p>
    <w:p>
      <w:pPr>
        <w:spacing w:line="360" w:lineRule="auto"/>
        <w:ind w:firstLine="413" w:firstLineChars="196"/>
        <w:outlineLvl w:val="1"/>
        <w:rPr>
          <w:rFonts w:hint="default" w:ascii="宋体" w:hAnsi="宋体" w:eastAsia="宋体" w:cs="宋体"/>
          <w:b/>
          <w:szCs w:val="21"/>
          <w:highlight w:val="none"/>
          <w:lang w:val="en-US" w:eastAsia="zh-CN"/>
        </w:rPr>
      </w:pPr>
      <w:r>
        <w:rPr>
          <w:rFonts w:hint="eastAsia" w:ascii="宋体" w:hAnsi="宋体" w:cs="宋体"/>
          <w:b/>
          <w:szCs w:val="21"/>
          <w:highlight w:val="none"/>
          <w:lang w:val="en-US" w:eastAsia="zh-CN"/>
        </w:rPr>
        <w:t>（二） 采购清单</w:t>
      </w:r>
    </w:p>
    <w:tbl>
      <w:tblPr>
        <w:tblStyle w:val="6"/>
        <w:tblW w:w="8095" w:type="dxa"/>
        <w:jc w:val="center"/>
        <w:tblLayout w:type="fixed"/>
        <w:tblCellMar>
          <w:top w:w="0" w:type="dxa"/>
          <w:left w:w="108" w:type="dxa"/>
          <w:bottom w:w="0" w:type="dxa"/>
          <w:right w:w="108" w:type="dxa"/>
        </w:tblCellMar>
      </w:tblPr>
      <w:tblGrid>
        <w:gridCol w:w="729"/>
        <w:gridCol w:w="1963"/>
        <w:gridCol w:w="3238"/>
        <w:gridCol w:w="1020"/>
        <w:gridCol w:w="1145"/>
      </w:tblGrid>
      <w:tr>
        <w:tblPrEx>
          <w:tblCellMar>
            <w:top w:w="0" w:type="dxa"/>
            <w:left w:w="108" w:type="dxa"/>
            <w:bottom w:w="0" w:type="dxa"/>
            <w:right w:w="108" w:type="dxa"/>
          </w:tblCellMar>
        </w:tblPrEx>
        <w:trPr>
          <w:trHeight w:val="63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序号</w:t>
            </w:r>
          </w:p>
        </w:tc>
        <w:tc>
          <w:tcPr>
            <w:tcW w:w="1963"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采购物品</w:t>
            </w:r>
          </w:p>
        </w:tc>
        <w:tc>
          <w:tcPr>
            <w:tcW w:w="3238"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规格</w:t>
            </w:r>
          </w:p>
        </w:tc>
        <w:tc>
          <w:tcPr>
            <w:tcW w:w="102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color w:val="000000"/>
                <w:sz w:val="18"/>
                <w:szCs w:val="18"/>
                <w:highlight w:val="none"/>
              </w:rPr>
            </w:pPr>
            <w:r>
              <w:rPr>
                <w:rFonts w:hint="eastAsia" w:ascii="宋体" w:hAnsi="宋体" w:cs="宋体"/>
                <w:b/>
                <w:bCs/>
                <w:color w:val="000000"/>
                <w:sz w:val="18"/>
                <w:szCs w:val="18"/>
                <w:highlight w:val="none"/>
              </w:rPr>
              <w:t>单位</w:t>
            </w:r>
          </w:p>
        </w:tc>
        <w:tc>
          <w:tcPr>
            <w:tcW w:w="1145"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
                <w:bCs/>
                <w:color w:val="000000"/>
                <w:sz w:val="18"/>
                <w:szCs w:val="18"/>
                <w:highlight w:val="none"/>
              </w:rPr>
            </w:pPr>
            <w:r>
              <w:rPr>
                <w:rFonts w:hint="eastAsia" w:ascii="宋体" w:hAnsi="宋体" w:cs="宋体"/>
                <w:b/>
                <w:bCs/>
                <w:color w:val="000000"/>
                <w:sz w:val="18"/>
                <w:szCs w:val="18"/>
                <w:highlight w:val="none"/>
              </w:rPr>
              <w:t>单价最高限价</w:t>
            </w:r>
          </w:p>
          <w:p>
            <w:pPr>
              <w:jc w:val="center"/>
              <w:rPr>
                <w:rFonts w:hint="eastAsia" w:ascii="宋体" w:hAnsi="宋体" w:cs="宋体"/>
                <w:b/>
                <w:bCs/>
                <w:color w:val="000000"/>
                <w:sz w:val="18"/>
                <w:szCs w:val="18"/>
                <w:highlight w:val="none"/>
              </w:rPr>
            </w:pPr>
            <w:r>
              <w:rPr>
                <w:rFonts w:hint="eastAsia" w:ascii="宋体" w:hAnsi="宋体" w:cs="宋体"/>
                <w:b/>
                <w:bCs/>
                <w:color w:val="000000"/>
                <w:sz w:val="18"/>
                <w:szCs w:val="18"/>
                <w:highlight w:val="none"/>
              </w:rPr>
              <w:t>（元）</w:t>
            </w:r>
          </w:p>
        </w:tc>
      </w:tr>
      <w:tr>
        <w:tblPrEx>
          <w:tblCellMar>
            <w:top w:w="0" w:type="dxa"/>
            <w:left w:w="108" w:type="dxa"/>
            <w:bottom w:w="0" w:type="dxa"/>
            <w:right w:w="108" w:type="dxa"/>
          </w:tblCellMar>
        </w:tblPrEx>
        <w:trPr>
          <w:trHeight w:val="279"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000000"/>
                <w:sz w:val="18"/>
                <w:szCs w:val="18"/>
                <w:highlight w:val="none"/>
                <w:lang w:val="en-US" w:eastAsia="zh-CN"/>
              </w:rPr>
            </w:pPr>
            <w:r>
              <w:rPr>
                <w:rFonts w:hint="eastAsia" w:ascii="宋体" w:hAnsi="宋体" w:cs="宋体"/>
                <w:b w:val="0"/>
                <w:bCs w:val="0"/>
                <w:color w:val="000000"/>
                <w:sz w:val="18"/>
                <w:szCs w:val="18"/>
                <w:highlight w:val="none"/>
                <w:lang w:val="en-US" w:eastAsia="zh-CN"/>
              </w:rPr>
              <w:t>1</w:t>
            </w:r>
          </w:p>
        </w:tc>
        <w:tc>
          <w:tcPr>
            <w:tcW w:w="196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lang w:val="en-US" w:eastAsia="zh-CN"/>
              </w:rPr>
              <w:t xml:space="preserve">10斤 </w:t>
            </w:r>
            <w:r>
              <w:rPr>
                <w:rFonts w:hint="eastAsia" w:ascii="宋体" w:hAnsi="宋体" w:cs="宋体"/>
                <w:color w:val="000000"/>
                <w:sz w:val="18"/>
                <w:szCs w:val="18"/>
                <w:highlight w:val="none"/>
              </w:rPr>
              <w:t>白色背心胶袋</w:t>
            </w:r>
          </w:p>
        </w:tc>
        <w:tc>
          <w:tcPr>
            <w:tcW w:w="3238"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rPr>
              <w:t>58*32+16cm</w:t>
            </w:r>
            <w:r>
              <w:rPr>
                <w:rFonts w:hint="eastAsia" w:ascii="宋体" w:hAnsi="宋体" w:cs="宋体"/>
                <w:color w:val="000000"/>
                <w:sz w:val="18"/>
                <w:szCs w:val="18"/>
                <w:highlight w:val="none"/>
                <w:lang w:eastAsia="zh-CN"/>
              </w:rPr>
              <w:t>、</w:t>
            </w:r>
            <w:r>
              <w:rPr>
                <w:rFonts w:hint="eastAsia" w:ascii="宋体" w:hAnsi="宋体" w:cs="宋体"/>
                <w:color w:val="000000"/>
                <w:sz w:val="18"/>
                <w:szCs w:val="18"/>
                <w:highlight w:val="none"/>
                <w:lang w:val="en-US" w:eastAsia="zh-CN"/>
              </w:rPr>
              <w:t>100个/扎、PO材质、厚3C</w:t>
            </w:r>
          </w:p>
        </w:tc>
        <w:tc>
          <w:tcPr>
            <w:tcW w:w="10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kern w:val="2"/>
                <w:sz w:val="18"/>
                <w:szCs w:val="18"/>
                <w:highlight w:val="none"/>
                <w:lang w:val="en-US" w:eastAsia="zh-CN" w:bidi="ar-SA"/>
              </w:rPr>
            </w:pPr>
            <w:r>
              <w:rPr>
                <w:rFonts w:hint="eastAsia" w:ascii="宋体" w:hAnsi="宋体" w:cs="宋体"/>
                <w:color w:val="000000"/>
                <w:sz w:val="18"/>
                <w:szCs w:val="18"/>
                <w:highlight w:val="none"/>
                <w:lang w:val="en-US" w:eastAsia="zh-CN"/>
              </w:rPr>
              <w:t>扎</w:t>
            </w:r>
          </w:p>
        </w:tc>
        <w:tc>
          <w:tcPr>
            <w:tcW w:w="114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22</w:t>
            </w:r>
          </w:p>
        </w:tc>
      </w:tr>
      <w:tr>
        <w:tblPrEx>
          <w:tblCellMar>
            <w:top w:w="0" w:type="dxa"/>
            <w:left w:w="108" w:type="dxa"/>
            <w:bottom w:w="0" w:type="dxa"/>
            <w:right w:w="108" w:type="dxa"/>
          </w:tblCellMar>
        </w:tblPrEx>
        <w:trPr>
          <w:trHeight w:val="642"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2</w:t>
            </w:r>
          </w:p>
        </w:tc>
        <w:tc>
          <w:tcPr>
            <w:tcW w:w="1963"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绿色背心胶袋</w:t>
            </w:r>
          </w:p>
        </w:tc>
        <w:tc>
          <w:tcPr>
            <w:tcW w:w="323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rPr>
              <w:t>25*20.5+4.5cm</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100个/扎、PO材质、厚6C</w:t>
            </w:r>
          </w:p>
        </w:tc>
        <w:tc>
          <w:tcPr>
            <w:tcW w:w="10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扎</w:t>
            </w:r>
          </w:p>
        </w:tc>
        <w:tc>
          <w:tcPr>
            <w:tcW w:w="114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50</w:t>
            </w:r>
          </w:p>
        </w:tc>
      </w:tr>
      <w:tr>
        <w:tblPrEx>
          <w:tblCellMar>
            <w:top w:w="0" w:type="dxa"/>
            <w:left w:w="108" w:type="dxa"/>
            <w:bottom w:w="0" w:type="dxa"/>
            <w:right w:w="108" w:type="dxa"/>
          </w:tblCellMar>
        </w:tblPrEx>
        <w:trPr>
          <w:trHeight w:val="32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b w:val="0"/>
                <w:bCs w:val="0"/>
                <w:color w:val="000000"/>
                <w:sz w:val="18"/>
                <w:szCs w:val="18"/>
                <w:highlight w:val="none"/>
                <w:lang w:val="en-US" w:eastAsia="zh-CN"/>
              </w:rPr>
            </w:pPr>
            <w:r>
              <w:rPr>
                <w:rFonts w:hint="eastAsia" w:ascii="宋体" w:hAnsi="宋体" w:cs="宋体"/>
                <w:b w:val="0"/>
                <w:bCs w:val="0"/>
                <w:color w:val="000000"/>
                <w:sz w:val="18"/>
                <w:szCs w:val="18"/>
                <w:highlight w:val="none"/>
                <w:lang w:val="en-US" w:eastAsia="zh-CN"/>
              </w:rPr>
              <w:t>3</w:t>
            </w:r>
          </w:p>
        </w:tc>
        <w:tc>
          <w:tcPr>
            <w:tcW w:w="196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sz w:val="18"/>
                <w:szCs w:val="18"/>
                <w:highlight w:val="none"/>
                <w:lang w:val="en-US" w:eastAsia="zh-CN"/>
              </w:rPr>
            </w:pPr>
            <w:r>
              <w:rPr>
                <w:rFonts w:hint="eastAsia" w:ascii="宋体" w:hAnsi="宋体" w:cs="宋体"/>
                <w:color w:val="000000"/>
                <w:sz w:val="18"/>
                <w:szCs w:val="18"/>
                <w:highlight w:val="none"/>
              </w:rPr>
              <w:t>3斤 白色背心胶袋</w:t>
            </w:r>
          </w:p>
        </w:tc>
        <w:tc>
          <w:tcPr>
            <w:tcW w:w="323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18"/>
                <w:szCs w:val="18"/>
                <w:highlight w:val="none"/>
                <w:lang w:eastAsia="zh-CN"/>
              </w:rPr>
            </w:pPr>
            <w:r>
              <w:rPr>
                <w:rFonts w:hint="eastAsia" w:ascii="宋体" w:hAnsi="宋体" w:cs="宋体"/>
                <w:color w:val="000000"/>
                <w:sz w:val="18"/>
                <w:szCs w:val="18"/>
                <w:highlight w:val="none"/>
              </w:rPr>
              <w:t>30*18+10cm</w:t>
            </w:r>
            <w:r>
              <w:rPr>
                <w:rFonts w:hint="eastAsia" w:ascii="宋体" w:hAnsi="宋体" w:cs="宋体"/>
                <w:color w:val="000000"/>
                <w:sz w:val="18"/>
                <w:szCs w:val="18"/>
                <w:highlight w:val="none"/>
                <w:lang w:eastAsia="zh-CN"/>
              </w:rPr>
              <w:t>、</w:t>
            </w:r>
            <w:r>
              <w:rPr>
                <w:rFonts w:hint="eastAsia" w:ascii="宋体" w:hAnsi="宋体" w:cs="宋体"/>
                <w:color w:val="000000"/>
                <w:sz w:val="18"/>
                <w:szCs w:val="18"/>
                <w:highlight w:val="none"/>
              </w:rPr>
              <w:t>100个/扎</w:t>
            </w:r>
            <w:r>
              <w:rPr>
                <w:rFonts w:hint="eastAsia" w:ascii="宋体" w:hAnsi="宋体" w:cs="宋体"/>
                <w:color w:val="000000"/>
                <w:sz w:val="18"/>
                <w:szCs w:val="18"/>
                <w:highlight w:val="none"/>
                <w:lang w:eastAsia="zh-CN"/>
              </w:rPr>
              <w:t>、</w:t>
            </w:r>
            <w:r>
              <w:rPr>
                <w:rFonts w:hint="eastAsia" w:ascii="宋体" w:hAnsi="宋体" w:cs="宋体"/>
                <w:color w:val="000000"/>
                <w:sz w:val="18"/>
                <w:szCs w:val="18"/>
                <w:highlight w:val="none"/>
                <w:lang w:val="en-US" w:eastAsia="zh-CN"/>
              </w:rPr>
              <w:t>PO材质、厚</w:t>
            </w:r>
            <w:r>
              <w:rPr>
                <w:rFonts w:hint="eastAsia" w:ascii="宋体" w:hAnsi="宋体" w:cs="宋体"/>
                <w:color w:val="000000"/>
                <w:sz w:val="18"/>
                <w:szCs w:val="18"/>
                <w:highlight w:val="none"/>
              </w:rPr>
              <w:t>1.4C</w:t>
            </w:r>
          </w:p>
        </w:tc>
        <w:tc>
          <w:tcPr>
            <w:tcW w:w="10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扎</w:t>
            </w:r>
          </w:p>
        </w:tc>
        <w:tc>
          <w:tcPr>
            <w:tcW w:w="114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4.2</w:t>
            </w:r>
          </w:p>
        </w:tc>
      </w:tr>
      <w:tr>
        <w:tblPrEx>
          <w:tblCellMar>
            <w:top w:w="0" w:type="dxa"/>
            <w:left w:w="108" w:type="dxa"/>
            <w:bottom w:w="0" w:type="dxa"/>
            <w:right w:w="108" w:type="dxa"/>
          </w:tblCellMar>
        </w:tblPrEx>
        <w:trPr>
          <w:trHeight w:val="41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b w:val="0"/>
                <w:bCs w:val="0"/>
                <w:color w:val="000000"/>
                <w:sz w:val="18"/>
                <w:szCs w:val="18"/>
                <w:highlight w:val="none"/>
                <w:lang w:val="en-US" w:eastAsia="zh-CN"/>
              </w:rPr>
            </w:pPr>
            <w:r>
              <w:rPr>
                <w:rFonts w:hint="eastAsia" w:ascii="宋体" w:hAnsi="宋体" w:cs="宋体"/>
                <w:b w:val="0"/>
                <w:bCs w:val="0"/>
                <w:color w:val="000000"/>
                <w:sz w:val="18"/>
                <w:szCs w:val="18"/>
                <w:highlight w:val="none"/>
                <w:lang w:val="en-US" w:eastAsia="zh-CN"/>
              </w:rPr>
              <w:t>4</w:t>
            </w:r>
          </w:p>
        </w:tc>
        <w:tc>
          <w:tcPr>
            <w:tcW w:w="196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sz w:val="18"/>
                <w:szCs w:val="18"/>
                <w:highlight w:val="none"/>
                <w:lang w:val="en-US" w:eastAsia="zh-CN"/>
              </w:rPr>
            </w:pPr>
            <w:r>
              <w:rPr>
                <w:rFonts w:hint="eastAsia" w:ascii="宋体" w:hAnsi="宋体" w:cs="宋体"/>
                <w:color w:val="000000"/>
                <w:sz w:val="18"/>
                <w:szCs w:val="18"/>
                <w:highlight w:val="none"/>
              </w:rPr>
              <w:t>5斤 白色背心胶袋</w:t>
            </w:r>
          </w:p>
        </w:tc>
        <w:tc>
          <w:tcPr>
            <w:tcW w:w="323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18"/>
                <w:szCs w:val="18"/>
                <w:highlight w:val="none"/>
                <w:lang w:eastAsia="zh-CN"/>
              </w:rPr>
            </w:pPr>
            <w:r>
              <w:rPr>
                <w:rFonts w:hint="eastAsia" w:ascii="宋体" w:hAnsi="宋体" w:cs="宋体"/>
                <w:color w:val="000000"/>
                <w:sz w:val="18"/>
                <w:szCs w:val="18"/>
                <w:highlight w:val="none"/>
              </w:rPr>
              <w:t>35*21+10cm</w:t>
            </w:r>
            <w:r>
              <w:rPr>
                <w:rFonts w:hint="eastAsia" w:ascii="宋体" w:hAnsi="宋体" w:cs="宋体"/>
                <w:color w:val="000000"/>
                <w:sz w:val="18"/>
                <w:szCs w:val="18"/>
                <w:highlight w:val="none"/>
                <w:lang w:eastAsia="zh-CN"/>
              </w:rPr>
              <w:t>、</w:t>
            </w:r>
            <w:r>
              <w:rPr>
                <w:rFonts w:hint="eastAsia" w:ascii="宋体" w:hAnsi="宋体" w:cs="宋体"/>
                <w:color w:val="000000"/>
                <w:sz w:val="18"/>
                <w:szCs w:val="18"/>
                <w:highlight w:val="none"/>
              </w:rPr>
              <w:t>100个/扎</w:t>
            </w:r>
            <w:r>
              <w:rPr>
                <w:rFonts w:hint="eastAsia" w:ascii="宋体" w:hAnsi="宋体" w:cs="宋体"/>
                <w:color w:val="000000"/>
                <w:sz w:val="18"/>
                <w:szCs w:val="18"/>
                <w:highlight w:val="none"/>
                <w:lang w:eastAsia="zh-CN"/>
              </w:rPr>
              <w:t>、</w:t>
            </w:r>
            <w:r>
              <w:rPr>
                <w:rFonts w:hint="eastAsia" w:ascii="宋体" w:hAnsi="宋体" w:cs="宋体"/>
                <w:color w:val="000000"/>
                <w:sz w:val="18"/>
                <w:szCs w:val="18"/>
                <w:highlight w:val="none"/>
                <w:lang w:val="en-US" w:eastAsia="zh-CN"/>
              </w:rPr>
              <w:t>PO材质、厚</w:t>
            </w:r>
            <w:r>
              <w:rPr>
                <w:rFonts w:hint="eastAsia" w:ascii="宋体" w:hAnsi="宋体" w:cs="宋体"/>
                <w:color w:val="000000"/>
                <w:sz w:val="18"/>
                <w:szCs w:val="18"/>
                <w:highlight w:val="none"/>
              </w:rPr>
              <w:t>1.4C</w:t>
            </w:r>
          </w:p>
        </w:tc>
        <w:tc>
          <w:tcPr>
            <w:tcW w:w="10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扎</w:t>
            </w:r>
          </w:p>
        </w:tc>
        <w:tc>
          <w:tcPr>
            <w:tcW w:w="114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5.2</w:t>
            </w:r>
          </w:p>
        </w:tc>
      </w:tr>
      <w:tr>
        <w:tblPrEx>
          <w:tblCellMar>
            <w:top w:w="0" w:type="dxa"/>
            <w:left w:w="108" w:type="dxa"/>
            <w:bottom w:w="0" w:type="dxa"/>
            <w:right w:w="108" w:type="dxa"/>
          </w:tblCellMar>
        </w:tblPrEx>
        <w:trPr>
          <w:trHeight w:val="260"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b w:val="0"/>
                <w:bCs w:val="0"/>
                <w:color w:val="000000"/>
                <w:sz w:val="18"/>
                <w:szCs w:val="18"/>
                <w:highlight w:val="none"/>
                <w:lang w:val="en-US" w:eastAsia="zh-CN"/>
              </w:rPr>
            </w:pPr>
            <w:r>
              <w:rPr>
                <w:rFonts w:hint="eastAsia" w:ascii="宋体" w:hAnsi="宋体" w:cs="宋体"/>
                <w:b w:val="0"/>
                <w:bCs w:val="0"/>
                <w:color w:val="000000"/>
                <w:sz w:val="18"/>
                <w:szCs w:val="18"/>
                <w:highlight w:val="none"/>
                <w:lang w:val="en-US" w:eastAsia="zh-CN"/>
              </w:rPr>
              <w:t>5</w:t>
            </w:r>
          </w:p>
        </w:tc>
        <w:tc>
          <w:tcPr>
            <w:tcW w:w="196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透明平口胶袋</w:t>
            </w:r>
          </w:p>
        </w:tc>
        <w:tc>
          <w:tcPr>
            <w:tcW w:w="323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18"/>
                <w:szCs w:val="18"/>
                <w:highlight w:val="none"/>
                <w:lang w:eastAsia="zh-CN"/>
              </w:rPr>
            </w:pPr>
            <w:r>
              <w:rPr>
                <w:rFonts w:hint="eastAsia" w:ascii="宋体" w:hAnsi="宋体" w:cs="宋体"/>
                <w:color w:val="000000"/>
                <w:sz w:val="18"/>
                <w:szCs w:val="18"/>
                <w:highlight w:val="none"/>
              </w:rPr>
              <w:t>62*50+10*2cm</w:t>
            </w:r>
            <w:r>
              <w:rPr>
                <w:rFonts w:hint="eastAsia" w:ascii="宋体" w:hAnsi="宋体" w:cs="宋体"/>
                <w:color w:val="000000"/>
                <w:sz w:val="18"/>
                <w:szCs w:val="18"/>
                <w:highlight w:val="none"/>
                <w:lang w:eastAsia="zh-CN"/>
              </w:rPr>
              <w:t>、</w:t>
            </w:r>
            <w:r>
              <w:rPr>
                <w:rFonts w:hint="eastAsia" w:ascii="宋体" w:hAnsi="宋体" w:cs="宋体"/>
                <w:color w:val="000000"/>
                <w:sz w:val="18"/>
                <w:szCs w:val="18"/>
                <w:highlight w:val="none"/>
              </w:rPr>
              <w:t>100个/扎</w:t>
            </w:r>
            <w:r>
              <w:rPr>
                <w:rFonts w:hint="eastAsia" w:ascii="宋体" w:hAnsi="宋体" w:cs="宋体"/>
                <w:color w:val="000000"/>
                <w:sz w:val="18"/>
                <w:szCs w:val="18"/>
                <w:highlight w:val="none"/>
                <w:lang w:eastAsia="zh-CN"/>
              </w:rPr>
              <w:t>、</w:t>
            </w:r>
            <w:r>
              <w:rPr>
                <w:rFonts w:hint="eastAsia" w:ascii="宋体" w:hAnsi="宋体" w:cs="宋体"/>
                <w:color w:val="000000"/>
                <w:sz w:val="18"/>
                <w:szCs w:val="18"/>
                <w:highlight w:val="none"/>
                <w:lang w:val="en-US" w:eastAsia="zh-CN"/>
              </w:rPr>
              <w:t>PO材质、厚3</w:t>
            </w:r>
            <w:r>
              <w:rPr>
                <w:rFonts w:hint="eastAsia" w:ascii="宋体" w:hAnsi="宋体" w:cs="宋体"/>
                <w:color w:val="000000"/>
                <w:sz w:val="18"/>
                <w:szCs w:val="18"/>
                <w:highlight w:val="none"/>
              </w:rPr>
              <w:t>C</w:t>
            </w:r>
          </w:p>
        </w:tc>
        <w:tc>
          <w:tcPr>
            <w:tcW w:w="10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扎</w:t>
            </w:r>
          </w:p>
        </w:tc>
        <w:tc>
          <w:tcPr>
            <w:tcW w:w="114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32</w:t>
            </w:r>
          </w:p>
        </w:tc>
      </w:tr>
      <w:tr>
        <w:tblPrEx>
          <w:tblCellMar>
            <w:top w:w="0" w:type="dxa"/>
            <w:left w:w="108" w:type="dxa"/>
            <w:bottom w:w="0" w:type="dxa"/>
            <w:right w:w="108" w:type="dxa"/>
          </w:tblCellMar>
        </w:tblPrEx>
        <w:trPr>
          <w:trHeight w:val="383"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b w:val="0"/>
                <w:bCs w:val="0"/>
                <w:color w:val="000000"/>
                <w:sz w:val="18"/>
                <w:szCs w:val="18"/>
                <w:highlight w:val="none"/>
                <w:lang w:val="en-US" w:eastAsia="zh-CN"/>
              </w:rPr>
            </w:pPr>
            <w:r>
              <w:rPr>
                <w:rFonts w:hint="eastAsia" w:ascii="宋体" w:hAnsi="宋体" w:cs="宋体"/>
                <w:b w:val="0"/>
                <w:bCs w:val="0"/>
                <w:color w:val="000000"/>
                <w:sz w:val="18"/>
                <w:szCs w:val="18"/>
                <w:highlight w:val="none"/>
                <w:lang w:val="en-US" w:eastAsia="zh-CN"/>
              </w:rPr>
              <w:t>6</w:t>
            </w:r>
          </w:p>
        </w:tc>
        <w:tc>
          <w:tcPr>
            <w:tcW w:w="196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sz w:val="18"/>
                <w:szCs w:val="18"/>
                <w:highlight w:val="none"/>
                <w:lang w:val="en-US" w:eastAsia="zh-CN"/>
              </w:rPr>
            </w:pPr>
            <w:r>
              <w:rPr>
                <w:rFonts w:hint="eastAsia" w:ascii="宋体" w:hAnsi="宋体" w:cs="宋体"/>
                <w:color w:val="000000"/>
                <w:sz w:val="18"/>
                <w:szCs w:val="18"/>
                <w:highlight w:val="none"/>
              </w:rPr>
              <w:t>7斤 白色背心胶袋</w:t>
            </w:r>
          </w:p>
        </w:tc>
        <w:tc>
          <w:tcPr>
            <w:tcW w:w="323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000000"/>
                <w:sz w:val="18"/>
                <w:szCs w:val="18"/>
                <w:highlight w:val="none"/>
                <w:lang w:eastAsia="zh-CN"/>
              </w:rPr>
            </w:pPr>
            <w:r>
              <w:rPr>
                <w:rFonts w:hint="eastAsia" w:ascii="宋体" w:hAnsi="宋体" w:cs="宋体"/>
                <w:color w:val="000000"/>
                <w:sz w:val="18"/>
                <w:szCs w:val="18"/>
                <w:highlight w:val="none"/>
              </w:rPr>
              <w:t>41*24+10cm</w:t>
            </w:r>
            <w:r>
              <w:rPr>
                <w:rFonts w:hint="eastAsia" w:ascii="宋体" w:hAnsi="宋体" w:cs="宋体"/>
                <w:color w:val="000000"/>
                <w:sz w:val="18"/>
                <w:szCs w:val="18"/>
                <w:highlight w:val="none"/>
                <w:lang w:eastAsia="zh-CN"/>
              </w:rPr>
              <w:t>、</w:t>
            </w:r>
            <w:r>
              <w:rPr>
                <w:rFonts w:hint="eastAsia" w:ascii="宋体" w:hAnsi="宋体" w:cs="宋体"/>
                <w:color w:val="000000"/>
                <w:sz w:val="18"/>
                <w:szCs w:val="18"/>
                <w:highlight w:val="none"/>
              </w:rPr>
              <w:t>100个/扎</w:t>
            </w:r>
            <w:r>
              <w:rPr>
                <w:rFonts w:hint="eastAsia" w:ascii="宋体" w:hAnsi="宋体" w:cs="宋体"/>
                <w:color w:val="000000"/>
                <w:sz w:val="18"/>
                <w:szCs w:val="18"/>
                <w:highlight w:val="none"/>
                <w:lang w:val="en-US" w:eastAsia="zh-CN"/>
              </w:rPr>
              <w:t>PO材质、厚</w:t>
            </w:r>
            <w:r>
              <w:rPr>
                <w:rFonts w:hint="eastAsia" w:ascii="宋体" w:hAnsi="宋体" w:cs="宋体"/>
                <w:color w:val="000000"/>
                <w:sz w:val="18"/>
                <w:szCs w:val="18"/>
                <w:highlight w:val="none"/>
              </w:rPr>
              <w:t>1.4C</w:t>
            </w:r>
          </w:p>
        </w:tc>
        <w:tc>
          <w:tcPr>
            <w:tcW w:w="10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扎</w:t>
            </w:r>
          </w:p>
        </w:tc>
        <w:tc>
          <w:tcPr>
            <w:tcW w:w="114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7.1</w:t>
            </w:r>
          </w:p>
        </w:tc>
      </w:tr>
      <w:tr>
        <w:tblPrEx>
          <w:tblCellMar>
            <w:top w:w="0" w:type="dxa"/>
            <w:left w:w="108" w:type="dxa"/>
            <w:bottom w:w="0" w:type="dxa"/>
            <w:right w:w="108" w:type="dxa"/>
          </w:tblCellMar>
        </w:tblPrEx>
        <w:trPr>
          <w:trHeight w:val="425" w:hRule="atLeast"/>
          <w:jc w:val="center"/>
        </w:trPr>
        <w:tc>
          <w:tcPr>
            <w:tcW w:w="7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b w:val="0"/>
                <w:bCs w:val="0"/>
                <w:color w:val="000000"/>
                <w:sz w:val="18"/>
                <w:szCs w:val="18"/>
                <w:highlight w:val="none"/>
                <w:lang w:val="en-US" w:eastAsia="zh-CN"/>
              </w:rPr>
            </w:pPr>
            <w:r>
              <w:rPr>
                <w:rFonts w:hint="eastAsia" w:ascii="宋体" w:hAnsi="宋体" w:cs="宋体"/>
                <w:b w:val="0"/>
                <w:bCs w:val="0"/>
                <w:color w:val="000000"/>
                <w:sz w:val="18"/>
                <w:szCs w:val="18"/>
                <w:highlight w:val="none"/>
                <w:lang w:val="en-US" w:eastAsia="zh-CN"/>
              </w:rPr>
              <w:t>7</w:t>
            </w:r>
          </w:p>
        </w:tc>
        <w:tc>
          <w:tcPr>
            <w:tcW w:w="196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sz w:val="18"/>
                <w:szCs w:val="18"/>
                <w:highlight w:val="none"/>
                <w:lang w:val="en-US" w:eastAsia="zh-CN"/>
              </w:rPr>
            </w:pPr>
            <w:r>
              <w:rPr>
                <w:rFonts w:hint="eastAsia" w:ascii="宋体" w:hAnsi="宋体" w:cs="宋体"/>
                <w:color w:val="000000"/>
                <w:sz w:val="18"/>
                <w:szCs w:val="18"/>
                <w:highlight w:val="none"/>
              </w:rPr>
              <w:t>1斤 白色背心胶袋</w:t>
            </w:r>
          </w:p>
        </w:tc>
        <w:tc>
          <w:tcPr>
            <w:tcW w:w="323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000000"/>
                <w:sz w:val="18"/>
                <w:szCs w:val="18"/>
                <w:highlight w:val="none"/>
                <w:lang w:eastAsia="zh-CN"/>
              </w:rPr>
            </w:pPr>
            <w:r>
              <w:rPr>
                <w:rFonts w:hint="eastAsia" w:ascii="宋体" w:hAnsi="宋体" w:cs="宋体"/>
                <w:color w:val="000000"/>
                <w:sz w:val="18"/>
                <w:szCs w:val="18"/>
                <w:highlight w:val="none"/>
              </w:rPr>
              <w:t>21*15+8cm</w:t>
            </w:r>
            <w:r>
              <w:rPr>
                <w:rFonts w:hint="eastAsia" w:ascii="宋体" w:hAnsi="宋体" w:cs="宋体"/>
                <w:color w:val="000000"/>
                <w:sz w:val="18"/>
                <w:szCs w:val="18"/>
                <w:highlight w:val="none"/>
                <w:lang w:eastAsia="zh-CN"/>
              </w:rPr>
              <w:t>、</w:t>
            </w:r>
            <w:r>
              <w:rPr>
                <w:rFonts w:hint="eastAsia" w:ascii="宋体" w:hAnsi="宋体" w:cs="宋体"/>
                <w:color w:val="000000"/>
                <w:sz w:val="18"/>
                <w:szCs w:val="18"/>
                <w:highlight w:val="none"/>
              </w:rPr>
              <w:t>100个/扎</w:t>
            </w:r>
            <w:r>
              <w:rPr>
                <w:rFonts w:hint="eastAsia" w:ascii="宋体" w:hAnsi="宋体" w:cs="宋体"/>
                <w:color w:val="000000"/>
                <w:sz w:val="18"/>
                <w:szCs w:val="18"/>
                <w:highlight w:val="none"/>
                <w:lang w:val="en-US" w:eastAsia="zh-CN"/>
              </w:rPr>
              <w:t>PO材质、厚</w:t>
            </w:r>
            <w:r>
              <w:rPr>
                <w:rFonts w:hint="eastAsia" w:ascii="宋体" w:hAnsi="宋体" w:cs="宋体"/>
                <w:color w:val="000000"/>
                <w:sz w:val="18"/>
                <w:szCs w:val="18"/>
                <w:highlight w:val="none"/>
              </w:rPr>
              <w:t>1.4C</w:t>
            </w:r>
          </w:p>
        </w:tc>
        <w:tc>
          <w:tcPr>
            <w:tcW w:w="102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扎</w:t>
            </w:r>
          </w:p>
        </w:tc>
        <w:tc>
          <w:tcPr>
            <w:tcW w:w="114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3.7</w:t>
            </w:r>
          </w:p>
        </w:tc>
      </w:tr>
    </w:tbl>
    <w:p>
      <w:pPr>
        <w:spacing w:line="360" w:lineRule="auto"/>
        <w:ind w:firstLine="413" w:firstLineChars="196"/>
        <w:outlineLvl w:val="1"/>
        <w:rPr>
          <w:rFonts w:hint="default" w:ascii="宋体" w:hAnsi="宋体" w:eastAsia="宋体" w:cs="宋体"/>
          <w:b/>
          <w:szCs w:val="21"/>
          <w:highlight w:val="none"/>
          <w:lang w:val="en-US" w:eastAsia="zh-CN"/>
        </w:rPr>
      </w:pPr>
      <w:r>
        <w:rPr>
          <w:rFonts w:hint="eastAsia" w:ascii="宋体" w:hAnsi="宋体" w:cs="宋体"/>
          <w:b/>
          <w:szCs w:val="21"/>
          <w:highlight w:val="none"/>
          <w:lang w:val="en-US" w:eastAsia="zh-CN"/>
        </w:rPr>
        <w:t>（三） 技术参数要求</w:t>
      </w:r>
    </w:p>
    <w:p>
      <w:pPr>
        <w:spacing w:line="360" w:lineRule="auto"/>
        <w:ind w:firstLine="312" w:firstLineChars="149"/>
        <w:rPr>
          <w:rFonts w:hint="eastAsia" w:ascii="宋体" w:hAnsi="宋体"/>
          <w:color w:val="000000"/>
          <w:szCs w:val="21"/>
        </w:rPr>
      </w:pPr>
      <w:r>
        <w:rPr>
          <w:rFonts w:hint="eastAsia" w:ascii="宋体" w:hAnsi="宋体"/>
          <w:color w:val="000000"/>
          <w:szCs w:val="21"/>
        </w:rPr>
        <w:t>1</w:t>
      </w:r>
      <w:r>
        <w:rPr>
          <w:rFonts w:hint="eastAsia" w:ascii="宋体" w:hAnsi="宋体"/>
          <w:color w:val="000000"/>
          <w:szCs w:val="21"/>
          <w:lang w:eastAsia="zh-CN"/>
        </w:rPr>
        <w:t>、</w:t>
      </w:r>
      <w:r>
        <w:rPr>
          <w:rFonts w:hint="eastAsia" w:ascii="宋体" w:hAnsi="宋体"/>
          <w:color w:val="000000"/>
          <w:szCs w:val="21"/>
        </w:rPr>
        <w:t>外观：无明显水纹、云雾、条纹、划痕，不允许有气泡、穿孔及划痕。</w:t>
      </w:r>
    </w:p>
    <w:p>
      <w:pPr>
        <w:spacing w:line="360" w:lineRule="auto"/>
        <w:ind w:firstLine="105" w:firstLineChars="50"/>
        <w:rPr>
          <w:rFonts w:hint="eastAsia" w:ascii="宋体" w:hAnsi="宋体"/>
          <w:b/>
          <w:color w:val="000000"/>
          <w:szCs w:val="21"/>
        </w:rPr>
      </w:pPr>
      <w:r>
        <w:rPr>
          <w:rFonts w:hint="eastAsia" w:ascii="宋体" w:hAnsi="宋体"/>
          <w:color w:val="000000"/>
          <w:szCs w:val="21"/>
        </w:rPr>
        <w:t>★2</w:t>
      </w:r>
      <w:r>
        <w:rPr>
          <w:rFonts w:hint="eastAsia" w:ascii="宋体" w:hAnsi="宋体"/>
          <w:color w:val="000000"/>
          <w:szCs w:val="21"/>
          <w:lang w:eastAsia="zh-CN"/>
        </w:rPr>
        <w:t>、</w:t>
      </w:r>
      <w:r>
        <w:rPr>
          <w:rFonts w:hint="eastAsia" w:ascii="宋体" w:hAnsi="宋体"/>
          <w:color w:val="000000"/>
          <w:szCs w:val="21"/>
        </w:rPr>
        <w:t>材质：使用全新材料制作。</w:t>
      </w:r>
    </w:p>
    <w:p>
      <w:pPr>
        <w:spacing w:line="360" w:lineRule="auto"/>
        <w:ind w:firstLine="315" w:firstLineChars="150"/>
        <w:rPr>
          <w:rFonts w:hint="eastAsia" w:ascii="宋体" w:hAnsi="宋体"/>
          <w:color w:val="000000"/>
          <w:szCs w:val="21"/>
        </w:rPr>
      </w:pPr>
      <w:r>
        <w:rPr>
          <w:rFonts w:hint="eastAsia" w:ascii="宋体" w:hAnsi="宋体"/>
          <w:color w:val="000000"/>
          <w:szCs w:val="21"/>
        </w:rPr>
        <w:t>3</w:t>
      </w:r>
      <w:r>
        <w:rPr>
          <w:rFonts w:hint="eastAsia" w:ascii="宋体" w:hAnsi="宋体"/>
          <w:color w:val="000000"/>
          <w:szCs w:val="21"/>
          <w:lang w:eastAsia="zh-CN"/>
        </w:rPr>
        <w:t>、</w:t>
      </w:r>
      <w:r>
        <w:rPr>
          <w:rFonts w:hint="eastAsia" w:ascii="宋体" w:hAnsi="宋体"/>
          <w:color w:val="000000"/>
          <w:szCs w:val="21"/>
        </w:rPr>
        <w:t>杂质、焦点≤0.8ｍｍ；</w:t>
      </w:r>
    </w:p>
    <w:p>
      <w:pPr>
        <w:spacing w:line="360" w:lineRule="auto"/>
        <w:ind w:firstLine="315" w:firstLineChars="150"/>
        <w:rPr>
          <w:rFonts w:hint="eastAsia" w:ascii="宋体" w:hAnsi="宋体"/>
          <w:color w:val="000000"/>
          <w:szCs w:val="21"/>
        </w:rPr>
      </w:pPr>
      <w:r>
        <w:rPr>
          <w:rFonts w:hint="eastAsia" w:ascii="宋体" w:hAnsi="宋体"/>
          <w:color w:val="000000"/>
          <w:szCs w:val="21"/>
        </w:rPr>
        <w:t>4</w:t>
      </w:r>
      <w:r>
        <w:rPr>
          <w:rFonts w:hint="eastAsia" w:ascii="宋体" w:hAnsi="宋体"/>
          <w:color w:val="000000"/>
          <w:szCs w:val="21"/>
          <w:lang w:eastAsia="zh-CN"/>
        </w:rPr>
        <w:t>、</w:t>
      </w:r>
      <w:r>
        <w:rPr>
          <w:rFonts w:hint="eastAsia" w:ascii="宋体" w:hAnsi="宋体"/>
          <w:color w:val="000000"/>
          <w:szCs w:val="21"/>
        </w:rPr>
        <w:t>鱼眼、僵块&lt; 2ｍｍ；</w:t>
      </w:r>
    </w:p>
    <w:p>
      <w:pPr>
        <w:spacing w:line="360" w:lineRule="auto"/>
        <w:ind w:firstLine="315" w:firstLineChars="150"/>
        <w:rPr>
          <w:rFonts w:hint="eastAsia" w:ascii="宋体" w:hAnsi="宋体"/>
          <w:color w:val="000000"/>
          <w:szCs w:val="21"/>
        </w:rPr>
      </w:pPr>
      <w:r>
        <w:rPr>
          <w:rFonts w:hint="eastAsia" w:ascii="宋体" w:hAnsi="宋体"/>
          <w:color w:val="000000"/>
          <w:szCs w:val="21"/>
        </w:rPr>
        <w:t>5</w:t>
      </w:r>
      <w:r>
        <w:rPr>
          <w:rFonts w:hint="eastAsia" w:ascii="宋体" w:hAnsi="宋体"/>
          <w:color w:val="000000"/>
          <w:szCs w:val="21"/>
          <w:lang w:eastAsia="zh-CN"/>
        </w:rPr>
        <w:t>、</w:t>
      </w:r>
      <w:r>
        <w:rPr>
          <w:rFonts w:hint="eastAsia" w:ascii="宋体" w:hAnsi="宋体"/>
          <w:color w:val="000000"/>
          <w:szCs w:val="21"/>
        </w:rPr>
        <w:t>开口性：易于揭开；</w:t>
      </w:r>
    </w:p>
    <w:p>
      <w:pPr>
        <w:spacing w:line="360" w:lineRule="auto"/>
        <w:ind w:firstLine="315" w:firstLineChars="150"/>
        <w:rPr>
          <w:rFonts w:hint="eastAsia" w:ascii="宋体" w:hAnsi="宋体"/>
          <w:color w:val="000000"/>
          <w:szCs w:val="21"/>
        </w:rPr>
      </w:pPr>
      <w:r>
        <w:rPr>
          <w:rFonts w:hint="eastAsia" w:ascii="宋体" w:hAnsi="宋体"/>
          <w:color w:val="000000"/>
          <w:szCs w:val="21"/>
        </w:rPr>
        <w:t>6</w:t>
      </w:r>
      <w:r>
        <w:rPr>
          <w:rFonts w:hint="eastAsia" w:ascii="宋体" w:hAnsi="宋体"/>
          <w:color w:val="000000"/>
          <w:szCs w:val="21"/>
          <w:lang w:eastAsia="zh-CN"/>
        </w:rPr>
        <w:t>、</w:t>
      </w:r>
      <w:r>
        <w:rPr>
          <w:rFonts w:hint="eastAsia" w:ascii="宋体" w:hAnsi="宋体"/>
          <w:color w:val="000000"/>
          <w:szCs w:val="21"/>
        </w:rPr>
        <w:t>平整度：不允许打折、起皱、严重波浪形、明显暴筋；</w:t>
      </w:r>
    </w:p>
    <w:p>
      <w:pPr>
        <w:spacing w:line="360" w:lineRule="auto"/>
        <w:ind w:firstLine="105" w:firstLineChars="50"/>
        <w:rPr>
          <w:rFonts w:hint="eastAsia" w:ascii="宋体" w:hAnsi="宋体"/>
          <w:color w:val="000000"/>
          <w:szCs w:val="21"/>
        </w:rPr>
      </w:pPr>
      <w:r>
        <w:rPr>
          <w:rFonts w:hint="eastAsia" w:ascii="宋体" w:hAnsi="宋体"/>
          <w:color w:val="000000"/>
          <w:szCs w:val="21"/>
        </w:rPr>
        <w:t>★7</w:t>
      </w:r>
      <w:r>
        <w:rPr>
          <w:rFonts w:hint="eastAsia" w:ascii="宋体" w:hAnsi="宋体"/>
          <w:color w:val="000000"/>
          <w:szCs w:val="21"/>
          <w:lang w:eastAsia="zh-CN"/>
        </w:rPr>
        <w:t>、</w:t>
      </w:r>
      <w:r>
        <w:rPr>
          <w:rFonts w:hint="eastAsia" w:ascii="宋体" w:hAnsi="宋体"/>
          <w:color w:val="000000"/>
          <w:szCs w:val="21"/>
        </w:rPr>
        <w:t>拉伸强度（纵/横）≥11 Mpa；</w:t>
      </w:r>
    </w:p>
    <w:p>
      <w:pPr>
        <w:spacing w:line="360" w:lineRule="auto"/>
        <w:ind w:firstLine="315" w:firstLineChars="150"/>
        <w:rPr>
          <w:rFonts w:hint="eastAsia" w:ascii="宋体" w:hAnsi="宋体"/>
          <w:color w:val="000000"/>
          <w:szCs w:val="21"/>
        </w:rPr>
      </w:pPr>
      <w:r>
        <w:rPr>
          <w:rFonts w:hint="eastAsia" w:ascii="宋体" w:hAnsi="宋体"/>
          <w:color w:val="000000"/>
          <w:szCs w:val="21"/>
        </w:rPr>
        <w:t>8</w:t>
      </w:r>
      <w:r>
        <w:rPr>
          <w:rFonts w:hint="eastAsia" w:ascii="宋体" w:hAnsi="宋体"/>
          <w:color w:val="000000"/>
          <w:szCs w:val="21"/>
          <w:lang w:eastAsia="zh-CN"/>
        </w:rPr>
        <w:t>、</w:t>
      </w:r>
      <w:r>
        <w:rPr>
          <w:rFonts w:hint="eastAsia" w:ascii="宋体" w:hAnsi="宋体"/>
          <w:color w:val="000000"/>
          <w:szCs w:val="21"/>
        </w:rPr>
        <w:t>断裂伸长率（纵/横）：当厚度&lt;0.05ｍｍ，断裂伸长率（纵/横）≥180%；当厚度&gt;0.05ｍｍ，断裂伸长率（纵/横）≥230%。</w:t>
      </w:r>
    </w:p>
    <w:p>
      <w:pPr>
        <w:spacing w:line="360" w:lineRule="auto"/>
        <w:ind w:firstLine="315" w:firstLineChars="150"/>
        <w:rPr>
          <w:rFonts w:hint="eastAsia" w:ascii="宋体" w:hAnsi="宋体"/>
          <w:color w:val="000000"/>
          <w:szCs w:val="21"/>
        </w:rPr>
      </w:pPr>
      <w:r>
        <w:rPr>
          <w:rFonts w:hint="eastAsia" w:ascii="宋体" w:hAnsi="宋体"/>
          <w:color w:val="000000"/>
          <w:szCs w:val="21"/>
        </w:rPr>
        <w:t>9</w:t>
      </w:r>
      <w:r>
        <w:rPr>
          <w:rFonts w:hint="eastAsia" w:ascii="宋体" w:hAnsi="宋体"/>
          <w:color w:val="000000"/>
          <w:szCs w:val="21"/>
          <w:lang w:eastAsia="zh-CN"/>
        </w:rPr>
        <w:t>、</w:t>
      </w:r>
      <w:r>
        <w:rPr>
          <w:rFonts w:hint="eastAsia" w:ascii="宋体" w:hAnsi="宋体"/>
          <w:color w:val="000000"/>
          <w:szCs w:val="21"/>
        </w:rPr>
        <w:t>直角撕裂强度（纵/横）：当厚度&lt;0.05ｍｍ，直角撕裂强度（纵/横）≥40N/cm；当厚度&gt;0.05ｍｍ，直角撕裂强度（纵/横）≥50N/cm。</w:t>
      </w:r>
    </w:p>
    <w:p>
      <w:pPr>
        <w:spacing w:line="360" w:lineRule="auto"/>
        <w:ind w:firstLine="315" w:firstLineChars="150"/>
        <w:rPr>
          <w:rFonts w:hint="eastAsia" w:ascii="宋体" w:hAnsi="宋体"/>
          <w:color w:val="000000"/>
          <w:szCs w:val="21"/>
        </w:rPr>
      </w:pPr>
      <w:r>
        <w:rPr>
          <w:rFonts w:hint="eastAsia" w:ascii="宋体" w:hAnsi="宋体"/>
          <w:color w:val="000000"/>
          <w:szCs w:val="21"/>
        </w:rPr>
        <w:t>10</w:t>
      </w:r>
      <w:r>
        <w:rPr>
          <w:rFonts w:hint="eastAsia" w:ascii="宋体" w:hAnsi="宋体"/>
          <w:color w:val="000000"/>
          <w:szCs w:val="21"/>
          <w:lang w:eastAsia="zh-CN"/>
        </w:rPr>
        <w:t>、</w:t>
      </w:r>
      <w:r>
        <w:rPr>
          <w:rFonts w:hint="eastAsia" w:ascii="宋体" w:hAnsi="宋体"/>
          <w:color w:val="000000"/>
          <w:szCs w:val="21"/>
        </w:rPr>
        <w:t>当厚度&lt;0.05ｍｍ，焊口拉力≥9N/15ｍｍ；当厚度&gt;0.05ｍｍ，焊口拉力≥9N/15ｍｍ。</w:t>
      </w:r>
    </w:p>
    <w:p>
      <w:pPr>
        <w:spacing w:line="360" w:lineRule="auto"/>
        <w:ind w:firstLine="413" w:firstLineChars="196"/>
        <w:outlineLvl w:val="1"/>
        <w:rPr>
          <w:rFonts w:ascii="宋体" w:hAnsi="宋体" w:cs="宋体"/>
          <w:b/>
          <w:szCs w:val="21"/>
          <w:highlight w:val="none"/>
        </w:rPr>
      </w:pPr>
      <w:r>
        <w:rPr>
          <w:rFonts w:hint="eastAsia" w:ascii="宋体" w:hAnsi="宋体" w:cs="宋体"/>
          <w:b/>
          <w:szCs w:val="21"/>
          <w:highlight w:val="none"/>
          <w:lang w:val="en-US" w:eastAsia="zh-CN"/>
        </w:rPr>
        <w:t xml:space="preserve">（四） </w:t>
      </w:r>
      <w:r>
        <w:rPr>
          <w:rFonts w:hint="eastAsia" w:ascii="宋体" w:hAnsi="宋体" w:cs="宋体"/>
          <w:b/>
          <w:szCs w:val="21"/>
          <w:highlight w:val="none"/>
        </w:rPr>
        <w:t>投标报价要求</w:t>
      </w:r>
    </w:p>
    <w:p>
      <w:pPr>
        <w:autoSpaceDE/>
        <w:snapToGrid w:val="0"/>
        <w:spacing w:line="360" w:lineRule="auto"/>
        <w:ind w:firstLine="420" w:firstLineChars="200"/>
        <w:jc w:val="both"/>
        <w:rPr>
          <w:rFonts w:ascii="宋体" w:hAnsi="宋体" w:cs="宋体"/>
          <w:bCs/>
          <w:sz w:val="21"/>
          <w:szCs w:val="21"/>
        </w:rPr>
      </w:pPr>
      <w:r>
        <w:rPr>
          <w:rFonts w:hint="eastAsia" w:ascii="宋体" w:hAnsi="宋体" w:cs="宋体"/>
          <w:bCs/>
          <w:sz w:val="21"/>
          <w:szCs w:val="21"/>
          <w:lang w:val="en-US" w:eastAsia="zh-CN"/>
        </w:rPr>
        <w:t>1、</w:t>
      </w:r>
      <w:r>
        <w:rPr>
          <w:rFonts w:hint="eastAsia" w:ascii="宋体" w:hAnsi="宋体" w:cs="宋体"/>
          <w:bCs/>
          <w:sz w:val="21"/>
          <w:szCs w:val="21"/>
        </w:rPr>
        <w:t>本次响应报价应为人民币含税全包价，包括</w:t>
      </w:r>
      <w:r>
        <w:rPr>
          <w:rFonts w:hint="eastAsia" w:ascii="宋体" w:hAnsi="宋体" w:cs="宋体"/>
          <w:bCs/>
          <w:sz w:val="21"/>
          <w:szCs w:val="21"/>
          <w:lang w:val="en-US" w:eastAsia="zh-CN"/>
        </w:rPr>
        <w:t>货物</w:t>
      </w:r>
      <w:r>
        <w:rPr>
          <w:rFonts w:hint="eastAsia" w:ascii="宋体" w:hAnsi="宋体" w:cs="宋体"/>
          <w:bCs/>
          <w:sz w:val="21"/>
          <w:szCs w:val="21"/>
        </w:rPr>
        <w:t>、包装费、</w:t>
      </w:r>
      <w:r>
        <w:rPr>
          <w:rFonts w:hint="eastAsia" w:ascii="宋体" w:hAnsi="宋体" w:cs="宋体"/>
          <w:bCs/>
          <w:sz w:val="21"/>
          <w:szCs w:val="21"/>
          <w:lang w:val="en-US" w:eastAsia="zh-CN"/>
        </w:rPr>
        <w:t>安装费、</w:t>
      </w:r>
      <w:r>
        <w:rPr>
          <w:rFonts w:hint="eastAsia" w:ascii="宋体" w:hAnsi="宋体" w:cs="宋体"/>
          <w:bCs/>
          <w:sz w:val="21"/>
          <w:szCs w:val="21"/>
        </w:rPr>
        <w:t>运杂费、保险费、卸车费、配合费、检测费、配送费、税金及</w:t>
      </w:r>
      <w:r>
        <w:rPr>
          <w:rFonts w:hint="eastAsia" w:ascii="宋体" w:hAnsi="宋体" w:cs="宋体"/>
          <w:bCs/>
          <w:sz w:val="21"/>
          <w:szCs w:val="21"/>
          <w:lang w:val="en-US" w:eastAsia="zh-CN"/>
        </w:rPr>
        <w:t>与本项目相关的</w:t>
      </w:r>
      <w:r>
        <w:rPr>
          <w:rFonts w:hint="eastAsia" w:ascii="宋体" w:hAnsi="宋体" w:cs="宋体"/>
          <w:bCs/>
          <w:sz w:val="21"/>
          <w:szCs w:val="21"/>
        </w:rPr>
        <w:t>其他费用。</w:t>
      </w:r>
    </w:p>
    <w:p>
      <w:pPr>
        <w:spacing w:line="360" w:lineRule="auto"/>
        <w:ind w:firstLine="420" w:firstLineChars="200"/>
        <w:rPr>
          <w:rFonts w:hint="eastAsia"/>
        </w:rPr>
      </w:pPr>
      <w:r>
        <w:rPr>
          <w:rFonts w:hint="eastAsia" w:ascii="宋体" w:hAnsi="宋体" w:cs="宋体"/>
          <w:szCs w:val="21"/>
          <w:lang w:val="en-US" w:eastAsia="zh-CN"/>
        </w:rPr>
        <w:t>2、</w:t>
      </w:r>
      <w:r>
        <w:rPr>
          <w:rFonts w:hint="eastAsia" w:ascii="宋体" w:hAnsi="宋体" w:cs="宋体"/>
          <w:szCs w:val="21"/>
        </w:rPr>
        <w:t>供应商对采购物品的单</w:t>
      </w:r>
      <w:r>
        <w:rPr>
          <w:rFonts w:hint="eastAsia" w:ascii="宋体" w:hAnsi="宋体" w:cs="宋体"/>
          <w:b w:val="0"/>
          <w:bCs w:val="0"/>
          <w:szCs w:val="21"/>
        </w:rPr>
        <w:t>价报出统一的投标</w:t>
      </w:r>
      <w:r>
        <w:rPr>
          <w:rFonts w:hint="eastAsia" w:ascii="宋体" w:hAnsi="宋体" w:cs="宋体"/>
          <w:szCs w:val="21"/>
        </w:rPr>
        <w:t>下浮率，下浮率在0%（含本数）-100%（含本数）范围内取值，若报价超出此范围则投标无效。</w:t>
      </w:r>
    </w:p>
    <w:p>
      <w:pPr>
        <w:spacing w:line="360" w:lineRule="auto"/>
        <w:ind w:firstLine="413" w:firstLineChars="196"/>
        <w:outlineLvl w:val="1"/>
        <w:rPr>
          <w:rFonts w:hint="eastAsia" w:ascii="宋体" w:hAnsi="宋体" w:cs="宋体"/>
          <w:b/>
          <w:szCs w:val="21"/>
          <w:highlight w:val="none"/>
          <w:lang w:val="en-US" w:eastAsia="zh-CN"/>
        </w:rPr>
      </w:pPr>
      <w:r>
        <w:rPr>
          <w:rFonts w:hint="eastAsia" w:ascii="宋体" w:hAnsi="宋体" w:cs="宋体"/>
          <w:b/>
          <w:szCs w:val="21"/>
          <w:highlight w:val="none"/>
          <w:lang w:val="en-US" w:eastAsia="zh-CN"/>
        </w:rPr>
        <w:t>（五）包装、装卸、运输及保险</w:t>
      </w:r>
    </w:p>
    <w:p>
      <w:pPr>
        <w:autoSpaceDE/>
        <w:snapToGrid w:val="0"/>
        <w:spacing w:line="360" w:lineRule="auto"/>
        <w:ind w:firstLine="420" w:firstLineChars="200"/>
        <w:jc w:val="both"/>
        <w:rPr>
          <w:rFonts w:ascii="宋体" w:hAnsi="宋体" w:cs="宋体"/>
          <w:bCs/>
          <w:sz w:val="21"/>
          <w:szCs w:val="21"/>
        </w:rPr>
      </w:pPr>
      <w:r>
        <w:rPr>
          <w:rFonts w:hint="eastAsia" w:ascii="宋体" w:hAnsi="宋体" w:cs="宋体"/>
          <w:bCs/>
          <w:sz w:val="21"/>
          <w:szCs w:val="21"/>
          <w:lang w:val="en-US" w:eastAsia="zh-CN"/>
        </w:rPr>
        <w:t>1、</w:t>
      </w:r>
      <w:r>
        <w:rPr>
          <w:rFonts w:hint="eastAsia" w:ascii="宋体" w:hAnsi="宋体" w:cs="宋体"/>
          <w:bCs/>
          <w:sz w:val="21"/>
          <w:szCs w:val="21"/>
        </w:rPr>
        <w:t>成交供应商所供货物包装质量必须符合国家相关标准，货物的包装均应有良好的防锈、防腐的措施，货物要求有包装保护运至现场。凡由于包装不良造成的损失和由此产生的费用均由成交供应商承担。</w:t>
      </w:r>
    </w:p>
    <w:p>
      <w:pPr>
        <w:autoSpaceDE/>
        <w:snapToGrid w:val="0"/>
        <w:spacing w:line="360" w:lineRule="auto"/>
        <w:ind w:firstLine="420" w:firstLineChars="200"/>
        <w:jc w:val="both"/>
        <w:rPr>
          <w:rFonts w:ascii="宋体" w:hAnsi="宋体" w:cs="宋体"/>
          <w:bCs/>
          <w:sz w:val="21"/>
          <w:szCs w:val="21"/>
        </w:rPr>
      </w:pPr>
      <w:r>
        <w:rPr>
          <w:rFonts w:hint="eastAsia" w:ascii="宋体" w:hAnsi="宋体" w:cs="宋体"/>
          <w:bCs/>
          <w:sz w:val="21"/>
          <w:szCs w:val="21"/>
        </w:rPr>
        <w:t>2</w:t>
      </w:r>
      <w:r>
        <w:rPr>
          <w:rFonts w:hint="eastAsia" w:ascii="宋体" w:hAnsi="宋体" w:cs="宋体"/>
          <w:bCs/>
          <w:sz w:val="21"/>
          <w:szCs w:val="21"/>
          <w:lang w:eastAsia="zh-CN"/>
        </w:rPr>
        <w:t>、</w:t>
      </w:r>
      <w:r>
        <w:rPr>
          <w:rFonts w:hint="eastAsia" w:ascii="宋体" w:hAnsi="宋体" w:cs="宋体"/>
          <w:bCs/>
          <w:sz w:val="21"/>
          <w:szCs w:val="21"/>
        </w:rPr>
        <w:t>成交供应商负责根据用户指定的地点，将货物送到现场过程中的全部运输，包括装卸车、货物现场的搬运，由此产生的费用均由成交供应商承担。</w:t>
      </w:r>
    </w:p>
    <w:p>
      <w:pPr>
        <w:autoSpaceDE/>
        <w:snapToGrid w:val="0"/>
        <w:spacing w:line="360" w:lineRule="auto"/>
        <w:ind w:firstLine="420" w:firstLineChars="200"/>
        <w:jc w:val="both"/>
        <w:rPr>
          <w:rFonts w:ascii="宋体" w:hAnsi="宋体" w:cs="宋体"/>
          <w:bCs/>
          <w:sz w:val="21"/>
          <w:szCs w:val="21"/>
        </w:rPr>
      </w:pPr>
      <w:r>
        <w:rPr>
          <w:rFonts w:hint="eastAsia" w:ascii="宋体" w:hAnsi="宋体" w:cs="宋体"/>
          <w:bCs/>
          <w:sz w:val="21"/>
          <w:szCs w:val="21"/>
        </w:rPr>
        <w:t>3</w:t>
      </w:r>
      <w:r>
        <w:rPr>
          <w:rFonts w:hint="eastAsia" w:ascii="宋体" w:hAnsi="宋体" w:cs="宋体"/>
          <w:bCs/>
          <w:sz w:val="21"/>
          <w:szCs w:val="21"/>
          <w:lang w:eastAsia="zh-CN"/>
        </w:rPr>
        <w:t>、</w:t>
      </w:r>
      <w:r>
        <w:rPr>
          <w:rFonts w:hint="eastAsia" w:ascii="宋体" w:hAnsi="宋体" w:cs="宋体"/>
          <w:bCs/>
          <w:sz w:val="21"/>
          <w:szCs w:val="21"/>
        </w:rPr>
        <w:t>如货物运输过程中因事故造成货物短缺、损坏，成交供应商应及时安排换货，以保证合同货物及时交付，换货的相关费用由成交供应商承担。</w:t>
      </w:r>
    </w:p>
    <w:p>
      <w:pPr>
        <w:autoSpaceDE/>
        <w:snapToGrid w:val="0"/>
        <w:spacing w:line="360" w:lineRule="auto"/>
        <w:ind w:firstLine="420" w:firstLineChars="200"/>
        <w:jc w:val="both"/>
      </w:pPr>
      <w:r>
        <w:rPr>
          <w:rFonts w:hint="eastAsia" w:ascii="宋体" w:hAnsi="宋体" w:cs="宋体"/>
          <w:bCs/>
          <w:sz w:val="21"/>
          <w:szCs w:val="21"/>
        </w:rPr>
        <w:t>4</w:t>
      </w:r>
      <w:r>
        <w:rPr>
          <w:rFonts w:hint="eastAsia" w:ascii="宋体" w:hAnsi="宋体" w:cs="宋体"/>
          <w:bCs/>
          <w:sz w:val="21"/>
          <w:szCs w:val="21"/>
          <w:lang w:eastAsia="zh-CN"/>
        </w:rPr>
        <w:t>、</w:t>
      </w:r>
      <w:r>
        <w:rPr>
          <w:rFonts w:hint="eastAsia" w:ascii="宋体" w:hAnsi="宋体" w:cs="宋体"/>
          <w:bCs/>
          <w:sz w:val="21"/>
          <w:szCs w:val="21"/>
        </w:rPr>
        <w:t>货物的质量保险由成交供应商负责，成交供应商负责其派出的现场服务人员人身意外保险。</w:t>
      </w:r>
    </w:p>
    <w:p>
      <w:pPr>
        <w:pStyle w:val="9"/>
        <w:numPr>
          <w:ilvl w:val="0"/>
          <w:numId w:val="0"/>
        </w:numPr>
        <w:spacing w:line="360" w:lineRule="auto"/>
        <w:ind w:left="413" w:leftChars="0"/>
        <w:outlineLvl w:val="1"/>
        <w:rPr>
          <w:rFonts w:ascii="宋体" w:hAnsi="宋体" w:cs="宋体"/>
          <w:b/>
          <w:szCs w:val="21"/>
        </w:rPr>
      </w:pPr>
      <w:r>
        <w:rPr>
          <w:rFonts w:hint="eastAsia" w:ascii="宋体" w:hAnsi="宋体" w:cs="宋体"/>
          <w:b/>
          <w:szCs w:val="21"/>
          <w:lang w:eastAsia="zh-CN"/>
        </w:rPr>
        <w:t>（</w:t>
      </w:r>
      <w:r>
        <w:rPr>
          <w:rFonts w:hint="eastAsia" w:ascii="宋体" w:hAnsi="宋体" w:cs="宋体"/>
          <w:b/>
          <w:szCs w:val="21"/>
          <w:lang w:val="en-US" w:eastAsia="zh-CN"/>
        </w:rPr>
        <w:t>六</w:t>
      </w:r>
      <w:r>
        <w:rPr>
          <w:rFonts w:hint="eastAsia" w:ascii="宋体" w:hAnsi="宋体" w:cs="宋体"/>
          <w:b/>
          <w:szCs w:val="21"/>
          <w:lang w:eastAsia="zh-CN"/>
        </w:rPr>
        <w:t>）</w:t>
      </w:r>
      <w:r>
        <w:rPr>
          <w:rFonts w:hint="eastAsia" w:ascii="宋体" w:hAnsi="宋体" w:cs="宋体"/>
          <w:b/>
          <w:szCs w:val="21"/>
        </w:rPr>
        <w:t>验收方式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20" w:firstLineChars="200"/>
        <w:textAlignment w:val="auto"/>
        <w:rPr>
          <w:rFonts w:hint="eastAsia" w:ascii="宋体" w:hAnsi="宋体"/>
          <w:szCs w:val="21"/>
          <w:lang w:val="en-US" w:eastAsia="zh-CN"/>
        </w:rPr>
      </w:pPr>
      <w:r>
        <w:rPr>
          <w:rFonts w:hint="eastAsia" w:ascii="宋体" w:hAnsi="宋体"/>
          <w:szCs w:val="21"/>
          <w:lang w:val="en-US" w:eastAsia="zh-CN"/>
        </w:rPr>
        <w:t>1、 成交供应商将货物送货至采购人指定地点后，由采购人按照采购合同、相关询价文件、响应文件要求进行核对，根据国家相关法律法规、质量标准，对货物的规格参数和质量进行验收。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20" w:firstLineChars="200"/>
        <w:textAlignment w:val="auto"/>
        <w:rPr>
          <w:rFonts w:hint="eastAsia" w:ascii="宋体" w:hAnsi="宋体"/>
          <w:szCs w:val="21"/>
          <w:lang w:val="en-US" w:eastAsia="zh-CN"/>
        </w:rPr>
      </w:pPr>
      <w:r>
        <w:rPr>
          <w:rFonts w:hint="eastAsia" w:ascii="宋体" w:hAnsi="宋体"/>
          <w:szCs w:val="21"/>
          <w:lang w:val="en-US" w:eastAsia="zh-CN"/>
        </w:rPr>
        <w:t>2、货物在验收过程中发现所交付的货物有短缺、次品、损坏或其他不符合询价文件、合同规定之情形者，采购人有权拒付该批货物的费用，并由成交供应商承担由此发生的一切费用和损失。</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szCs w:val="21"/>
          <w:lang w:val="en-US" w:eastAsia="zh-CN"/>
        </w:rPr>
      </w:pPr>
      <w:r>
        <w:rPr>
          <w:rFonts w:hint="eastAsia" w:ascii="宋体" w:hAnsi="宋体"/>
          <w:szCs w:val="21"/>
          <w:highlight w:val="none"/>
          <w:lang w:val="en-US" w:eastAsia="zh-CN"/>
        </w:rPr>
        <w:t>3、所有货物在使用过程中发现以次充好或使用假冒伪劣产品的，成交供应商须无条件更换货物。此种情况超过2次或以上的，</w:t>
      </w:r>
      <w:r>
        <w:rPr>
          <w:rFonts w:hint="eastAsia" w:ascii="宋体" w:hAnsi="宋体"/>
          <w:szCs w:val="21"/>
          <w:lang w:val="en-US" w:eastAsia="zh-CN"/>
        </w:rPr>
        <w:t>采购人有权单方终止合同。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20" w:firstLineChars="200"/>
        <w:textAlignment w:val="auto"/>
        <w:rPr>
          <w:rFonts w:hint="eastAsia" w:ascii="宋体" w:hAnsi="宋体"/>
          <w:szCs w:val="21"/>
          <w:lang w:val="en-US" w:eastAsia="zh-CN"/>
        </w:rPr>
      </w:pPr>
      <w:r>
        <w:rPr>
          <w:rFonts w:hint="eastAsia" w:ascii="宋体" w:hAnsi="宋体"/>
          <w:szCs w:val="21"/>
          <w:lang w:val="en-US" w:eastAsia="zh-CN"/>
        </w:rPr>
        <w:t>4、因质量问题发生争议时，由地级市或以上的质检部门进行相关鉴定，鉴定费用由成交供应商先行垫付，鉴定结果符合质量技术要求，发生的所有鉴定费由采购人承担；鉴定结果不符合质量技术要求，发生的所有鉴定费由成交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20" w:firstLineChars="200"/>
        <w:textAlignment w:val="auto"/>
        <w:rPr>
          <w:rFonts w:hint="eastAsia" w:ascii="宋体" w:hAnsi="宋体"/>
          <w:szCs w:val="21"/>
          <w:lang w:val="en-US" w:eastAsia="zh-CN"/>
        </w:rPr>
      </w:pPr>
      <w:r>
        <w:rPr>
          <w:rFonts w:hint="eastAsia" w:ascii="宋体" w:hAnsi="宋体"/>
          <w:szCs w:val="21"/>
          <w:lang w:val="en-US" w:eastAsia="zh-CN"/>
        </w:rPr>
        <w:t>5、成交供应商保证因执行本项目向采购人提供的所有货物、材料、工序工艺等产品不侵犯第三方知识产权、商业秘密等权利。若发生侵犯第三方权利的情况,成交供应商应负责与第三方交涉, 并承担由此而产生的一切法律责任,采购人不承担与之相关的任何经济和法律责任。 如采购人因此而遭受损失，成交供应商应承担全部的赔偿责任。</w:t>
      </w:r>
    </w:p>
    <w:p>
      <w:pPr>
        <w:spacing w:line="360" w:lineRule="auto"/>
        <w:ind w:firstLine="422" w:firstLineChars="200"/>
        <w:outlineLvl w:val="1"/>
        <w:rPr>
          <w:rFonts w:hint="eastAsia" w:ascii="宋体" w:hAnsi="宋体" w:cs="宋体"/>
          <w:b/>
          <w:szCs w:val="21"/>
          <w:highlight w:val="none"/>
          <w:lang w:val="en-US" w:eastAsia="zh-CN"/>
        </w:rPr>
      </w:pPr>
      <w:r>
        <w:rPr>
          <w:rFonts w:hint="eastAsia" w:ascii="宋体" w:hAnsi="宋体" w:cs="宋体"/>
          <w:b/>
          <w:szCs w:val="21"/>
          <w:highlight w:val="none"/>
          <w:lang w:val="en-US" w:eastAsia="zh-CN"/>
        </w:rPr>
        <w:t>（七）售后服务要求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szCs w:val="21"/>
          <w:lang w:val="en-US" w:eastAsia="zh-CN"/>
        </w:rPr>
      </w:pPr>
      <w:r>
        <w:rPr>
          <w:rFonts w:hint="eastAsia" w:ascii="宋体" w:hAnsi="宋体"/>
          <w:szCs w:val="21"/>
          <w:lang w:val="en-US" w:eastAsia="zh-CN"/>
        </w:rPr>
        <w:t>1、</w:t>
      </w:r>
      <w:r>
        <w:rPr>
          <w:rFonts w:hint="eastAsia" w:ascii="宋体" w:hAnsi="宋体" w:cs="宋体"/>
          <w:bCs/>
          <w:sz w:val="21"/>
          <w:szCs w:val="21"/>
        </w:rPr>
        <w:t>成交供应商</w:t>
      </w:r>
      <w:r>
        <w:rPr>
          <w:rFonts w:hint="eastAsia" w:ascii="宋体" w:hAnsi="宋体"/>
          <w:szCs w:val="21"/>
          <w:lang w:val="en-US" w:eastAsia="zh-CN"/>
        </w:rPr>
        <w:t>所提供的货物是原厂生产或该品牌授权生产的全新正品，其质量、规格满足用户需求，具备出厂合格证且无任何的侵权行为，且必须符合国家行业生产及经营标准，货真价实，各项技术指标完全符合国家有关质量检测、产品出厂标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szCs w:val="21"/>
          <w:lang w:val="en-US" w:eastAsia="zh-CN"/>
        </w:rPr>
      </w:pPr>
      <w:r>
        <w:rPr>
          <w:rFonts w:hint="eastAsia" w:ascii="宋体" w:hAnsi="宋体"/>
          <w:szCs w:val="21"/>
          <w:lang w:val="en-US" w:eastAsia="zh-CN"/>
        </w:rPr>
        <w:t>2、质保期为当次所送货物质保期为验收合格之日起壹年，质保期内中标供应商须提供质量“三包”服务，质保期内因货物质量问题而引发的费用全部由</w:t>
      </w:r>
      <w:r>
        <w:rPr>
          <w:rFonts w:hint="eastAsia" w:ascii="宋体" w:hAnsi="宋体" w:cs="宋体"/>
          <w:bCs/>
          <w:sz w:val="21"/>
          <w:szCs w:val="21"/>
        </w:rPr>
        <w:t>成交</w:t>
      </w:r>
      <w:r>
        <w:rPr>
          <w:rFonts w:hint="eastAsia" w:ascii="宋体" w:hAnsi="宋体"/>
          <w:szCs w:val="21"/>
          <w:lang w:val="en-US" w:eastAsia="zh-CN"/>
        </w:rPr>
        <w:t>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20" w:firstLineChars="200"/>
        <w:textAlignment w:val="auto"/>
        <w:rPr>
          <w:rFonts w:hint="eastAsia"/>
          <w:color w:val="FF0000"/>
          <w:lang w:val="en-US" w:eastAsia="zh-CN"/>
        </w:rPr>
      </w:pPr>
      <w:r>
        <w:rPr>
          <w:rFonts w:hint="eastAsia" w:ascii="宋体" w:hAnsi="宋体"/>
          <w:szCs w:val="21"/>
          <w:lang w:val="en-US" w:eastAsia="zh-CN"/>
        </w:rPr>
        <w:t>3、质保期内，</w:t>
      </w:r>
      <w:r>
        <w:rPr>
          <w:rFonts w:hint="eastAsia" w:ascii="宋体" w:hAnsi="宋体" w:cs="宋体"/>
          <w:bCs/>
          <w:sz w:val="21"/>
          <w:szCs w:val="21"/>
        </w:rPr>
        <w:t>成交供应商</w:t>
      </w:r>
      <w:r>
        <w:rPr>
          <w:rFonts w:hint="eastAsia" w:ascii="宋体" w:hAnsi="宋体"/>
          <w:szCs w:val="21"/>
          <w:lang w:val="en-US" w:eastAsia="zh-CN"/>
        </w:rPr>
        <w:t>提供24小时响应服务，到达现场时间为2小时内，解决问题的时限为到达现场后4小时内。若在到场4小时后仍未能有效解决，</w:t>
      </w:r>
      <w:r>
        <w:rPr>
          <w:rFonts w:hint="eastAsia" w:ascii="宋体" w:hAnsi="宋体" w:cs="宋体"/>
          <w:bCs/>
          <w:sz w:val="21"/>
          <w:szCs w:val="21"/>
        </w:rPr>
        <w:t>成交供应商</w:t>
      </w:r>
      <w:r>
        <w:rPr>
          <w:rFonts w:hint="eastAsia" w:ascii="宋体" w:hAnsi="宋体" w:cs="宋体"/>
          <w:bCs/>
          <w:sz w:val="21"/>
          <w:szCs w:val="21"/>
          <w:lang w:val="en-US" w:eastAsia="zh-CN"/>
        </w:rPr>
        <w:t>向采购人说明原因并经采购人同意后</w:t>
      </w:r>
      <w:r>
        <w:rPr>
          <w:rFonts w:hint="eastAsia" w:ascii="宋体" w:hAnsi="宋体"/>
          <w:szCs w:val="21"/>
          <w:lang w:val="en-US" w:eastAsia="zh-CN"/>
        </w:rPr>
        <w:t>提供等同或优于原参数的产品供采购人使用。如因此造成采购人损失的，由</w:t>
      </w:r>
      <w:r>
        <w:rPr>
          <w:rFonts w:hint="eastAsia" w:ascii="宋体" w:hAnsi="宋体" w:cs="宋体"/>
          <w:bCs/>
          <w:sz w:val="21"/>
          <w:szCs w:val="21"/>
        </w:rPr>
        <w:t>成交供应商</w:t>
      </w:r>
      <w:r>
        <w:rPr>
          <w:rFonts w:hint="eastAsia" w:ascii="宋体" w:hAnsi="宋体"/>
          <w:szCs w:val="21"/>
          <w:lang w:val="en-US" w:eastAsia="zh-CN"/>
        </w:rPr>
        <w:t>承担赔偿责任。</w:t>
      </w:r>
      <w:r>
        <w:rPr>
          <w:rFonts w:hint="eastAsia" w:ascii="宋体" w:hAnsi="宋体" w:cs="宋体"/>
          <w:color w:val="FF0000"/>
          <w:szCs w:val="21"/>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22" w:firstLineChars="200"/>
        <w:textAlignment w:val="auto"/>
        <w:rPr>
          <w:rFonts w:ascii="宋体" w:hAnsi="宋体" w:cs="宋体"/>
          <w:b/>
          <w:szCs w:val="21"/>
        </w:rPr>
      </w:pPr>
      <w:r>
        <w:rPr>
          <w:rFonts w:hint="eastAsia" w:ascii="宋体" w:hAnsi="宋体"/>
          <w:b/>
          <w:bCs/>
          <w:szCs w:val="21"/>
          <w:lang w:val="en-US" w:eastAsia="zh-CN"/>
        </w:rPr>
        <w:t>（八）</w:t>
      </w:r>
      <w:r>
        <w:rPr>
          <w:rFonts w:hint="eastAsia" w:ascii="宋体" w:hAnsi="宋体" w:cs="宋体"/>
          <w:b/>
          <w:szCs w:val="21"/>
        </w:rPr>
        <w:t>付款方式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20" w:firstLineChars="200"/>
        <w:textAlignment w:val="auto"/>
        <w:rPr>
          <w:rFonts w:hint="eastAsia" w:ascii="宋体" w:hAnsi="宋体"/>
          <w:szCs w:val="21"/>
          <w:lang w:val="en-US" w:eastAsia="zh-CN"/>
        </w:rPr>
      </w:pPr>
      <w:r>
        <w:rPr>
          <w:rFonts w:hint="eastAsia" w:ascii="宋体" w:hAnsi="宋体"/>
          <w:szCs w:val="21"/>
          <w:lang w:val="en-US" w:eastAsia="zh-CN"/>
        </w:rPr>
        <w:t>1、合同签订后，供货期内采购人可按照实际使用需要分批次要求成交供应商供货。合同无预付款，每批次订货无预付款。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20" w:firstLineChars="200"/>
        <w:textAlignment w:val="auto"/>
        <w:rPr>
          <w:rFonts w:hint="eastAsia" w:ascii="宋体" w:hAnsi="宋体"/>
          <w:szCs w:val="21"/>
          <w:lang w:val="en-US" w:eastAsia="zh-CN"/>
        </w:rPr>
      </w:pPr>
      <w:r>
        <w:rPr>
          <w:rFonts w:hint="eastAsia" w:ascii="宋体" w:hAnsi="宋体"/>
          <w:szCs w:val="21"/>
          <w:lang w:val="en-US" w:eastAsia="zh-CN"/>
        </w:rPr>
        <w:t>2、按批次结算。成交供应商接到采购人的下单通知后，按采购人要求的品种及数量提供货物，经双方确认验收合格后，成交供应商开具该批次所供货物的有效全额普通发票（含税），采购人在收到发票并审核无误后一个月内付款给成交供应商。</w:t>
      </w:r>
    </w:p>
    <w:p>
      <w:pPr>
        <w:rPr>
          <w:rFonts w:hint="eastAsia" w:ascii="宋体" w:hAnsi="宋体"/>
          <w:szCs w:val="21"/>
          <w:lang w:val="en-US" w:eastAsia="zh-CN"/>
        </w:rPr>
      </w:pPr>
      <w:r>
        <w:rPr>
          <w:rFonts w:hint="eastAsia" w:ascii="宋体" w:hAnsi="宋体"/>
          <w:szCs w:val="21"/>
          <w:lang w:val="en-US" w:eastAsia="zh-CN"/>
        </w:rPr>
        <w:t>3、成交供应商须开具与响应文件中报价人名称、响应报价一致的普通发票。</w:t>
      </w:r>
    </w:p>
    <w:p>
      <w:pPr>
        <w:pStyle w:val="2"/>
        <w:rPr>
          <w:rFonts w:hint="eastAsia" w:ascii="宋体" w:hAnsi="宋体"/>
          <w:szCs w:val="21"/>
          <w:lang w:val="en-US" w:eastAsia="zh-CN"/>
        </w:rPr>
      </w:pPr>
    </w:p>
    <w:p>
      <w:pPr>
        <w:rPr>
          <w:rFonts w:hint="eastAsia" w:ascii="宋体" w:hAnsi="宋体"/>
          <w:szCs w:val="21"/>
          <w:lang w:val="en-US" w:eastAsia="zh-CN"/>
        </w:rPr>
      </w:pPr>
    </w:p>
    <w:p>
      <w:pPr>
        <w:pStyle w:val="2"/>
        <w:rPr>
          <w:rFonts w:hint="eastAsia" w:ascii="宋体" w:hAnsi="宋体"/>
          <w:szCs w:val="21"/>
          <w:lang w:val="en-US" w:eastAsia="zh-CN"/>
        </w:rPr>
      </w:pPr>
    </w:p>
    <w:p>
      <w:pPr>
        <w:rPr>
          <w:rFonts w:hint="eastAsia" w:ascii="宋体" w:hAnsi="宋体"/>
          <w:szCs w:val="21"/>
          <w:lang w:val="en-US" w:eastAsia="zh-CN"/>
        </w:rPr>
      </w:pPr>
    </w:p>
    <w:p>
      <w:pPr>
        <w:pStyle w:val="2"/>
        <w:rPr>
          <w:rFonts w:hint="eastAsia" w:ascii="宋体" w:hAnsi="宋体"/>
          <w:szCs w:val="21"/>
          <w:lang w:val="en-US" w:eastAsia="zh-CN"/>
        </w:rPr>
      </w:pPr>
    </w:p>
    <w:p>
      <w:pPr>
        <w:rPr>
          <w:rFonts w:hint="eastAsia" w:ascii="宋体" w:hAnsi="宋体"/>
          <w:szCs w:val="21"/>
          <w:lang w:val="en-US" w:eastAsia="zh-CN"/>
        </w:rPr>
      </w:pPr>
    </w:p>
    <w:p>
      <w:pPr>
        <w:pStyle w:val="2"/>
        <w:rPr>
          <w:rFonts w:hint="eastAsia" w:ascii="宋体" w:hAnsi="宋体"/>
          <w:szCs w:val="21"/>
          <w:lang w:val="en-US" w:eastAsia="zh-CN"/>
        </w:rPr>
      </w:pPr>
    </w:p>
    <w:p>
      <w:pPr>
        <w:rPr>
          <w:rFonts w:hint="eastAsia" w:ascii="宋体" w:hAnsi="宋体"/>
          <w:szCs w:val="21"/>
          <w:lang w:val="en-US" w:eastAsia="zh-CN"/>
        </w:rPr>
      </w:pPr>
    </w:p>
    <w:p>
      <w:pPr>
        <w:pStyle w:val="2"/>
        <w:rPr>
          <w:rFonts w:hint="eastAsia" w:ascii="宋体" w:hAnsi="宋体"/>
          <w:szCs w:val="21"/>
          <w:lang w:val="en-US" w:eastAsia="zh-CN"/>
        </w:rPr>
      </w:pPr>
    </w:p>
    <w:p>
      <w:pPr>
        <w:rPr>
          <w:rFonts w:hint="eastAsia" w:ascii="宋体" w:hAnsi="宋体"/>
          <w:szCs w:val="21"/>
          <w:lang w:val="en-US" w:eastAsia="zh-CN"/>
        </w:rPr>
      </w:pPr>
    </w:p>
    <w:p>
      <w:pPr>
        <w:pStyle w:val="2"/>
        <w:rPr>
          <w:rFonts w:hint="eastAsia" w:ascii="宋体" w:hAnsi="宋体"/>
          <w:szCs w:val="21"/>
          <w:lang w:val="en-US" w:eastAsia="zh-CN"/>
        </w:rPr>
      </w:pPr>
    </w:p>
    <w:p>
      <w:pPr>
        <w:rPr>
          <w:rFonts w:hint="eastAsia" w:ascii="宋体" w:hAnsi="宋体"/>
          <w:szCs w:val="21"/>
          <w:lang w:val="en-US" w:eastAsia="zh-CN"/>
        </w:rPr>
      </w:pPr>
    </w:p>
    <w:p>
      <w:pPr>
        <w:pStyle w:val="2"/>
        <w:rPr>
          <w:rFonts w:hint="eastAsia" w:ascii="宋体" w:hAnsi="宋体"/>
          <w:szCs w:val="21"/>
          <w:lang w:val="en-US" w:eastAsia="zh-CN"/>
        </w:rPr>
      </w:pPr>
    </w:p>
    <w:p>
      <w:pPr>
        <w:rPr>
          <w:rFonts w:hint="eastAsia" w:ascii="宋体" w:hAnsi="宋体"/>
          <w:szCs w:val="21"/>
          <w:lang w:val="en-US" w:eastAsia="zh-CN"/>
        </w:rPr>
      </w:pPr>
    </w:p>
    <w:p>
      <w:pPr>
        <w:pStyle w:val="2"/>
        <w:rPr>
          <w:rFonts w:hint="eastAsia" w:ascii="宋体" w:hAnsi="宋体"/>
          <w:szCs w:val="21"/>
          <w:lang w:val="en-US" w:eastAsia="zh-CN"/>
        </w:rPr>
      </w:pPr>
    </w:p>
    <w:p>
      <w:pPr>
        <w:rPr>
          <w:rFonts w:hint="eastAsia" w:ascii="宋体" w:hAnsi="宋体"/>
          <w:szCs w:val="21"/>
          <w:lang w:val="en-US" w:eastAsia="zh-CN"/>
        </w:rPr>
      </w:pPr>
    </w:p>
    <w:p>
      <w:pPr>
        <w:pStyle w:val="5"/>
        <w:ind w:left="0" w:leftChars="0" w:firstLine="0" w:firstLineChars="0"/>
        <w:rPr>
          <w:rFonts w:hint="eastAsia" w:ascii="宋体" w:hAnsi="宋体"/>
          <w:sz w:val="24"/>
          <w:szCs w:val="20"/>
          <w:lang w:val="en-US" w:eastAsia="zh-CN"/>
        </w:rPr>
      </w:pPr>
      <w:r>
        <w:rPr>
          <w:rFonts w:hint="eastAsia" w:ascii="宋体" w:hAnsi="宋体"/>
          <w:sz w:val="24"/>
          <w:szCs w:val="20"/>
          <w:lang w:val="en-US" w:eastAsia="zh-CN"/>
        </w:rPr>
        <w:t>重要参数响应表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438"/>
        <w:gridCol w:w="1905"/>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 w:type="dxa"/>
          </w:tcPr>
          <w:p>
            <w:pPr>
              <w:pStyle w:val="5"/>
              <w:ind w:left="0" w:leftChars="0" w:firstLine="0" w:firstLineChars="0"/>
              <w:rPr>
                <w:rFonts w:hint="default" w:ascii="宋体" w:hAnsi="宋体"/>
                <w:sz w:val="22"/>
                <w:szCs w:val="18"/>
                <w:vertAlign w:val="baseline"/>
                <w:lang w:val="en-US" w:eastAsia="zh-CN"/>
              </w:rPr>
            </w:pPr>
            <w:r>
              <w:rPr>
                <w:rFonts w:hint="eastAsia" w:ascii="宋体" w:hAnsi="宋体"/>
                <w:sz w:val="22"/>
                <w:szCs w:val="18"/>
                <w:vertAlign w:val="baseline"/>
                <w:lang w:val="en-US" w:eastAsia="zh-CN"/>
              </w:rPr>
              <w:t>序号</w:t>
            </w:r>
          </w:p>
        </w:tc>
        <w:tc>
          <w:tcPr>
            <w:tcW w:w="1438" w:type="dxa"/>
          </w:tcPr>
          <w:p>
            <w:pPr>
              <w:pStyle w:val="5"/>
              <w:ind w:left="0" w:leftChars="0" w:firstLine="0" w:firstLineChars="0"/>
              <w:rPr>
                <w:rFonts w:hint="default" w:ascii="宋体" w:hAnsi="宋体"/>
                <w:sz w:val="22"/>
                <w:szCs w:val="18"/>
                <w:vertAlign w:val="baseline"/>
                <w:lang w:val="en-US" w:eastAsia="zh-CN"/>
              </w:rPr>
            </w:pPr>
            <w:r>
              <w:rPr>
                <w:rFonts w:hint="eastAsia" w:ascii="宋体" w:hAnsi="宋体"/>
                <w:sz w:val="22"/>
                <w:szCs w:val="18"/>
                <w:vertAlign w:val="baseline"/>
                <w:lang w:val="en-US" w:eastAsia="zh-CN"/>
              </w:rPr>
              <w:t>需求参数</w:t>
            </w:r>
          </w:p>
        </w:tc>
        <w:tc>
          <w:tcPr>
            <w:tcW w:w="1905" w:type="dxa"/>
          </w:tcPr>
          <w:p>
            <w:pPr>
              <w:pStyle w:val="5"/>
              <w:ind w:left="0" w:leftChars="0" w:firstLine="0" w:firstLineChars="0"/>
              <w:rPr>
                <w:rFonts w:hint="default" w:ascii="宋体" w:hAnsi="宋体"/>
                <w:sz w:val="22"/>
                <w:szCs w:val="18"/>
                <w:vertAlign w:val="baseline"/>
                <w:lang w:val="en-US" w:eastAsia="zh-CN"/>
              </w:rPr>
            </w:pPr>
            <w:r>
              <w:rPr>
                <w:rFonts w:hint="eastAsia" w:ascii="宋体" w:hAnsi="宋体"/>
                <w:sz w:val="22"/>
                <w:szCs w:val="18"/>
                <w:vertAlign w:val="baseline"/>
                <w:lang w:val="en-US" w:eastAsia="zh-CN"/>
              </w:rPr>
              <w:t>响应实际参数</w:t>
            </w:r>
          </w:p>
        </w:tc>
        <w:tc>
          <w:tcPr>
            <w:tcW w:w="1420" w:type="dxa"/>
          </w:tcPr>
          <w:p>
            <w:pPr>
              <w:pStyle w:val="5"/>
              <w:ind w:left="0" w:leftChars="0" w:firstLine="0" w:firstLineChars="0"/>
              <w:rPr>
                <w:rFonts w:hint="default" w:ascii="宋体" w:hAnsi="宋体"/>
                <w:sz w:val="22"/>
                <w:szCs w:val="18"/>
                <w:vertAlign w:val="baseline"/>
                <w:lang w:val="en-US" w:eastAsia="zh-CN"/>
              </w:rPr>
            </w:pPr>
            <w:r>
              <w:rPr>
                <w:rFonts w:hint="eastAsia" w:ascii="宋体" w:hAnsi="宋体"/>
                <w:sz w:val="22"/>
                <w:szCs w:val="18"/>
                <w:vertAlign w:val="baseline"/>
                <w:lang w:val="en-US" w:eastAsia="zh-CN"/>
              </w:rPr>
              <w:t>是否偏离</w:t>
            </w:r>
          </w:p>
        </w:tc>
        <w:tc>
          <w:tcPr>
            <w:tcW w:w="1421" w:type="dxa"/>
          </w:tcPr>
          <w:p>
            <w:pPr>
              <w:pStyle w:val="5"/>
              <w:ind w:left="0" w:leftChars="0" w:firstLine="0" w:firstLineChars="0"/>
              <w:rPr>
                <w:rFonts w:hint="default" w:ascii="宋体" w:hAnsi="宋体"/>
                <w:sz w:val="22"/>
                <w:szCs w:val="18"/>
                <w:vertAlign w:val="baseline"/>
                <w:lang w:val="en-US" w:eastAsia="zh-CN"/>
              </w:rPr>
            </w:pPr>
            <w:r>
              <w:rPr>
                <w:rFonts w:hint="eastAsia" w:ascii="宋体" w:hAnsi="宋体"/>
                <w:sz w:val="22"/>
                <w:szCs w:val="18"/>
                <w:vertAlign w:val="baseline"/>
                <w:lang w:val="en-US" w:eastAsia="zh-CN"/>
              </w:rPr>
              <w:t>偏离简述</w:t>
            </w:r>
          </w:p>
        </w:tc>
        <w:tc>
          <w:tcPr>
            <w:tcW w:w="1421" w:type="dxa"/>
          </w:tcPr>
          <w:p>
            <w:pPr>
              <w:pStyle w:val="5"/>
              <w:ind w:left="0" w:leftChars="0" w:firstLine="0" w:firstLineChars="0"/>
              <w:rPr>
                <w:rFonts w:hint="default" w:ascii="宋体" w:hAnsi="宋体"/>
                <w:sz w:val="22"/>
                <w:szCs w:val="18"/>
                <w:vertAlign w:val="baseline"/>
                <w:lang w:val="en-US" w:eastAsia="zh-CN"/>
              </w:rPr>
            </w:pPr>
            <w:r>
              <w:rPr>
                <w:rFonts w:hint="eastAsia" w:ascii="宋体" w:hAnsi="宋体"/>
                <w:sz w:val="22"/>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pPr>
              <w:pStyle w:val="5"/>
              <w:rPr>
                <w:rFonts w:hint="eastAsia" w:ascii="宋体" w:hAnsi="宋体"/>
                <w:szCs w:val="21"/>
                <w:vertAlign w:val="baseline"/>
                <w:lang w:val="en-US" w:eastAsia="zh-CN"/>
              </w:rPr>
            </w:pPr>
          </w:p>
        </w:tc>
        <w:tc>
          <w:tcPr>
            <w:tcW w:w="1438" w:type="dxa"/>
          </w:tcPr>
          <w:p>
            <w:pPr>
              <w:pStyle w:val="5"/>
              <w:rPr>
                <w:rFonts w:hint="eastAsia" w:ascii="宋体" w:hAnsi="宋体"/>
                <w:szCs w:val="21"/>
                <w:vertAlign w:val="baseline"/>
                <w:lang w:val="en-US" w:eastAsia="zh-CN"/>
              </w:rPr>
            </w:pPr>
          </w:p>
        </w:tc>
        <w:tc>
          <w:tcPr>
            <w:tcW w:w="1905" w:type="dxa"/>
          </w:tcPr>
          <w:p>
            <w:pPr>
              <w:pStyle w:val="5"/>
              <w:rPr>
                <w:rFonts w:hint="eastAsia" w:ascii="宋体" w:hAnsi="宋体"/>
                <w:szCs w:val="21"/>
                <w:vertAlign w:val="baseline"/>
                <w:lang w:val="en-US" w:eastAsia="zh-CN"/>
              </w:rPr>
            </w:pPr>
          </w:p>
        </w:tc>
        <w:tc>
          <w:tcPr>
            <w:tcW w:w="1420" w:type="dxa"/>
          </w:tcPr>
          <w:p>
            <w:pPr>
              <w:pStyle w:val="5"/>
              <w:rPr>
                <w:rFonts w:hint="eastAsia" w:ascii="宋体" w:hAnsi="宋体"/>
                <w:szCs w:val="21"/>
                <w:vertAlign w:val="baseline"/>
                <w:lang w:val="en-US" w:eastAsia="zh-CN"/>
              </w:rPr>
            </w:pPr>
          </w:p>
        </w:tc>
        <w:tc>
          <w:tcPr>
            <w:tcW w:w="1421" w:type="dxa"/>
          </w:tcPr>
          <w:p>
            <w:pPr>
              <w:pStyle w:val="5"/>
              <w:rPr>
                <w:rFonts w:hint="eastAsia" w:ascii="宋体" w:hAnsi="宋体"/>
                <w:szCs w:val="21"/>
                <w:vertAlign w:val="baseline"/>
                <w:lang w:val="en-US" w:eastAsia="zh-CN"/>
              </w:rPr>
            </w:pPr>
          </w:p>
        </w:tc>
        <w:tc>
          <w:tcPr>
            <w:tcW w:w="1421" w:type="dxa"/>
          </w:tcPr>
          <w:p>
            <w:pPr>
              <w:pStyle w:val="5"/>
              <w:rPr>
                <w:rFonts w:hint="eastAsia" w:ascii="宋体" w:hAnsi="宋体"/>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pPr>
              <w:pStyle w:val="5"/>
              <w:rPr>
                <w:rFonts w:hint="eastAsia" w:ascii="宋体" w:hAnsi="宋体"/>
                <w:szCs w:val="21"/>
                <w:vertAlign w:val="baseline"/>
                <w:lang w:val="en-US" w:eastAsia="zh-CN"/>
              </w:rPr>
            </w:pPr>
          </w:p>
        </w:tc>
        <w:tc>
          <w:tcPr>
            <w:tcW w:w="1438" w:type="dxa"/>
          </w:tcPr>
          <w:p>
            <w:pPr>
              <w:pStyle w:val="5"/>
              <w:rPr>
                <w:rFonts w:hint="eastAsia" w:ascii="宋体" w:hAnsi="宋体"/>
                <w:szCs w:val="21"/>
                <w:vertAlign w:val="baseline"/>
                <w:lang w:val="en-US" w:eastAsia="zh-CN"/>
              </w:rPr>
            </w:pPr>
          </w:p>
        </w:tc>
        <w:tc>
          <w:tcPr>
            <w:tcW w:w="1905" w:type="dxa"/>
          </w:tcPr>
          <w:p>
            <w:pPr>
              <w:pStyle w:val="5"/>
              <w:rPr>
                <w:rFonts w:hint="eastAsia" w:ascii="宋体" w:hAnsi="宋体"/>
                <w:szCs w:val="21"/>
                <w:vertAlign w:val="baseline"/>
                <w:lang w:val="en-US" w:eastAsia="zh-CN"/>
              </w:rPr>
            </w:pPr>
          </w:p>
        </w:tc>
        <w:tc>
          <w:tcPr>
            <w:tcW w:w="1420" w:type="dxa"/>
          </w:tcPr>
          <w:p>
            <w:pPr>
              <w:pStyle w:val="5"/>
              <w:rPr>
                <w:rFonts w:hint="eastAsia" w:ascii="宋体" w:hAnsi="宋体"/>
                <w:szCs w:val="21"/>
                <w:vertAlign w:val="baseline"/>
                <w:lang w:val="en-US" w:eastAsia="zh-CN"/>
              </w:rPr>
            </w:pPr>
          </w:p>
        </w:tc>
        <w:tc>
          <w:tcPr>
            <w:tcW w:w="1421" w:type="dxa"/>
          </w:tcPr>
          <w:p>
            <w:pPr>
              <w:pStyle w:val="5"/>
              <w:rPr>
                <w:rFonts w:hint="eastAsia" w:ascii="宋体" w:hAnsi="宋体"/>
                <w:szCs w:val="21"/>
                <w:vertAlign w:val="baseline"/>
                <w:lang w:val="en-US" w:eastAsia="zh-CN"/>
              </w:rPr>
            </w:pPr>
          </w:p>
        </w:tc>
        <w:tc>
          <w:tcPr>
            <w:tcW w:w="1421" w:type="dxa"/>
          </w:tcPr>
          <w:p>
            <w:pPr>
              <w:pStyle w:val="5"/>
              <w:rPr>
                <w:rFonts w:hint="eastAsia" w:ascii="宋体" w:hAnsi="宋体"/>
                <w:szCs w:val="21"/>
                <w:vertAlign w:val="baseline"/>
                <w:lang w:val="en-US" w:eastAsia="zh-CN"/>
              </w:rPr>
            </w:pPr>
          </w:p>
        </w:tc>
      </w:tr>
    </w:tbl>
    <w:p>
      <w:pPr>
        <w:pStyle w:val="5"/>
        <w:ind w:left="0" w:leftChars="0" w:firstLine="0" w:firstLineChars="0"/>
        <w:rPr>
          <w:rFonts w:hint="eastAsia" w:ascii="宋体" w:hAnsi="宋体"/>
          <w:szCs w:val="21"/>
          <w:lang w:val="en-US" w:eastAsia="zh-CN"/>
        </w:rPr>
      </w:pPr>
    </w:p>
    <w:p>
      <w:pPr>
        <w:pStyle w:val="5"/>
        <w:ind w:left="0" w:leftChars="0" w:firstLine="0" w:firstLineChars="0"/>
        <w:rPr>
          <w:rFonts w:hint="eastAsia" w:ascii="宋体" w:hAnsi="宋体"/>
          <w:szCs w:val="21"/>
          <w:lang w:val="en-US" w:eastAsia="zh-CN"/>
        </w:rPr>
      </w:pPr>
    </w:p>
    <w:p>
      <w:pPr>
        <w:pStyle w:val="5"/>
        <w:ind w:left="0" w:leftChars="0" w:firstLine="0" w:firstLineChars="0"/>
        <w:rPr>
          <w:rFonts w:hint="eastAsia" w:ascii="宋体" w:hAnsi="宋体"/>
          <w:szCs w:val="21"/>
          <w:lang w:val="en-US" w:eastAsia="zh-CN"/>
        </w:rPr>
      </w:pPr>
    </w:p>
    <w:p>
      <w:pPr>
        <w:pStyle w:val="5"/>
        <w:ind w:left="0" w:leftChars="0" w:firstLine="0" w:firstLineChars="0"/>
        <w:rPr>
          <w:rFonts w:hint="eastAsia" w:ascii="宋体" w:hAnsi="宋体"/>
          <w:szCs w:val="21"/>
          <w:lang w:val="en-US" w:eastAsia="zh-CN"/>
        </w:rPr>
      </w:pPr>
    </w:p>
    <w:p>
      <w:pPr>
        <w:pStyle w:val="5"/>
        <w:ind w:left="0" w:leftChars="0" w:firstLine="0" w:firstLineChars="0"/>
        <w:rPr>
          <w:rFonts w:hint="eastAsia" w:ascii="宋体" w:hAnsi="宋体"/>
          <w:sz w:val="24"/>
          <w:szCs w:val="20"/>
          <w:lang w:val="en-US" w:eastAsia="zh-CN"/>
        </w:rPr>
      </w:pPr>
      <w:r>
        <w:rPr>
          <w:rFonts w:hint="eastAsia" w:ascii="宋体" w:hAnsi="宋体"/>
          <w:sz w:val="24"/>
          <w:szCs w:val="20"/>
          <w:lang w:val="en-US" w:eastAsia="zh-CN"/>
        </w:rPr>
        <w:t>一般参数响应表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438"/>
        <w:gridCol w:w="1905"/>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pPr>
              <w:pStyle w:val="5"/>
              <w:ind w:left="0" w:leftChars="0" w:firstLine="0" w:firstLineChars="0"/>
              <w:rPr>
                <w:rFonts w:hint="default" w:ascii="宋体" w:hAnsi="宋体"/>
                <w:sz w:val="22"/>
                <w:szCs w:val="18"/>
                <w:vertAlign w:val="baseline"/>
                <w:lang w:val="en-US" w:eastAsia="zh-CN"/>
              </w:rPr>
            </w:pPr>
            <w:r>
              <w:rPr>
                <w:rFonts w:hint="eastAsia" w:ascii="宋体" w:hAnsi="宋体"/>
                <w:sz w:val="22"/>
                <w:szCs w:val="18"/>
                <w:vertAlign w:val="baseline"/>
                <w:lang w:val="en-US" w:eastAsia="zh-CN"/>
              </w:rPr>
              <w:t>序号</w:t>
            </w:r>
          </w:p>
        </w:tc>
        <w:tc>
          <w:tcPr>
            <w:tcW w:w="1438" w:type="dxa"/>
          </w:tcPr>
          <w:p>
            <w:pPr>
              <w:pStyle w:val="5"/>
              <w:ind w:left="0" w:leftChars="0" w:firstLine="0" w:firstLineChars="0"/>
              <w:rPr>
                <w:rFonts w:hint="default" w:ascii="宋体" w:hAnsi="宋体"/>
                <w:sz w:val="22"/>
                <w:szCs w:val="18"/>
                <w:vertAlign w:val="baseline"/>
                <w:lang w:val="en-US" w:eastAsia="zh-CN"/>
              </w:rPr>
            </w:pPr>
            <w:r>
              <w:rPr>
                <w:rFonts w:hint="eastAsia" w:ascii="宋体" w:hAnsi="宋体"/>
                <w:sz w:val="22"/>
                <w:szCs w:val="18"/>
                <w:vertAlign w:val="baseline"/>
                <w:lang w:val="en-US" w:eastAsia="zh-CN"/>
              </w:rPr>
              <w:t>需求参数</w:t>
            </w:r>
          </w:p>
        </w:tc>
        <w:tc>
          <w:tcPr>
            <w:tcW w:w="1905" w:type="dxa"/>
          </w:tcPr>
          <w:p>
            <w:pPr>
              <w:pStyle w:val="5"/>
              <w:ind w:left="0" w:leftChars="0" w:firstLine="0" w:firstLineChars="0"/>
              <w:rPr>
                <w:rFonts w:hint="default" w:ascii="宋体" w:hAnsi="宋体"/>
                <w:sz w:val="22"/>
                <w:szCs w:val="18"/>
                <w:vertAlign w:val="baseline"/>
                <w:lang w:val="en-US" w:eastAsia="zh-CN"/>
              </w:rPr>
            </w:pPr>
            <w:r>
              <w:rPr>
                <w:rFonts w:hint="eastAsia" w:ascii="宋体" w:hAnsi="宋体"/>
                <w:sz w:val="22"/>
                <w:szCs w:val="18"/>
                <w:vertAlign w:val="baseline"/>
                <w:lang w:val="en-US" w:eastAsia="zh-CN"/>
              </w:rPr>
              <w:t>响应实际参数</w:t>
            </w:r>
          </w:p>
        </w:tc>
        <w:tc>
          <w:tcPr>
            <w:tcW w:w="1420" w:type="dxa"/>
          </w:tcPr>
          <w:p>
            <w:pPr>
              <w:pStyle w:val="5"/>
              <w:ind w:left="0" w:leftChars="0" w:firstLine="0" w:firstLineChars="0"/>
              <w:rPr>
                <w:rFonts w:hint="default" w:ascii="宋体" w:hAnsi="宋体"/>
                <w:sz w:val="22"/>
                <w:szCs w:val="18"/>
                <w:vertAlign w:val="baseline"/>
                <w:lang w:val="en-US" w:eastAsia="zh-CN"/>
              </w:rPr>
            </w:pPr>
            <w:r>
              <w:rPr>
                <w:rFonts w:hint="eastAsia" w:ascii="宋体" w:hAnsi="宋体"/>
                <w:sz w:val="22"/>
                <w:szCs w:val="18"/>
                <w:vertAlign w:val="baseline"/>
                <w:lang w:val="en-US" w:eastAsia="zh-CN"/>
              </w:rPr>
              <w:t>是否偏离</w:t>
            </w:r>
          </w:p>
        </w:tc>
        <w:tc>
          <w:tcPr>
            <w:tcW w:w="1421" w:type="dxa"/>
          </w:tcPr>
          <w:p>
            <w:pPr>
              <w:pStyle w:val="5"/>
              <w:ind w:left="0" w:leftChars="0" w:firstLine="0" w:firstLineChars="0"/>
              <w:rPr>
                <w:rFonts w:hint="default" w:ascii="宋体" w:hAnsi="宋体"/>
                <w:sz w:val="22"/>
                <w:szCs w:val="18"/>
                <w:vertAlign w:val="baseline"/>
                <w:lang w:val="en-US" w:eastAsia="zh-CN"/>
              </w:rPr>
            </w:pPr>
            <w:r>
              <w:rPr>
                <w:rFonts w:hint="eastAsia" w:ascii="宋体" w:hAnsi="宋体"/>
                <w:sz w:val="22"/>
                <w:szCs w:val="18"/>
                <w:vertAlign w:val="baseline"/>
                <w:lang w:val="en-US" w:eastAsia="zh-CN"/>
              </w:rPr>
              <w:t>偏离简述</w:t>
            </w:r>
          </w:p>
        </w:tc>
        <w:tc>
          <w:tcPr>
            <w:tcW w:w="1421" w:type="dxa"/>
          </w:tcPr>
          <w:p>
            <w:pPr>
              <w:pStyle w:val="5"/>
              <w:ind w:left="0" w:leftChars="0" w:firstLine="0" w:firstLineChars="0"/>
              <w:rPr>
                <w:rFonts w:hint="default" w:ascii="宋体" w:hAnsi="宋体"/>
                <w:sz w:val="22"/>
                <w:szCs w:val="18"/>
                <w:vertAlign w:val="baseline"/>
                <w:lang w:val="en-US" w:eastAsia="zh-CN"/>
              </w:rPr>
            </w:pPr>
            <w:r>
              <w:rPr>
                <w:rFonts w:hint="eastAsia" w:ascii="宋体" w:hAnsi="宋体"/>
                <w:sz w:val="22"/>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pPr>
              <w:pStyle w:val="5"/>
              <w:rPr>
                <w:rFonts w:hint="eastAsia" w:ascii="宋体" w:hAnsi="宋体"/>
                <w:szCs w:val="21"/>
                <w:vertAlign w:val="baseline"/>
                <w:lang w:val="en-US" w:eastAsia="zh-CN"/>
              </w:rPr>
            </w:pPr>
          </w:p>
        </w:tc>
        <w:tc>
          <w:tcPr>
            <w:tcW w:w="1438" w:type="dxa"/>
          </w:tcPr>
          <w:p>
            <w:pPr>
              <w:pStyle w:val="5"/>
              <w:rPr>
                <w:rFonts w:hint="eastAsia" w:ascii="宋体" w:hAnsi="宋体"/>
                <w:szCs w:val="21"/>
                <w:vertAlign w:val="baseline"/>
                <w:lang w:val="en-US" w:eastAsia="zh-CN"/>
              </w:rPr>
            </w:pPr>
          </w:p>
        </w:tc>
        <w:tc>
          <w:tcPr>
            <w:tcW w:w="1905" w:type="dxa"/>
          </w:tcPr>
          <w:p>
            <w:pPr>
              <w:pStyle w:val="5"/>
              <w:rPr>
                <w:rFonts w:hint="eastAsia" w:ascii="宋体" w:hAnsi="宋体"/>
                <w:szCs w:val="21"/>
                <w:vertAlign w:val="baseline"/>
                <w:lang w:val="en-US" w:eastAsia="zh-CN"/>
              </w:rPr>
            </w:pPr>
          </w:p>
        </w:tc>
        <w:tc>
          <w:tcPr>
            <w:tcW w:w="1420" w:type="dxa"/>
          </w:tcPr>
          <w:p>
            <w:pPr>
              <w:pStyle w:val="5"/>
              <w:rPr>
                <w:rFonts w:hint="eastAsia" w:ascii="宋体" w:hAnsi="宋体"/>
                <w:szCs w:val="21"/>
                <w:vertAlign w:val="baseline"/>
                <w:lang w:val="en-US" w:eastAsia="zh-CN"/>
              </w:rPr>
            </w:pPr>
          </w:p>
        </w:tc>
        <w:tc>
          <w:tcPr>
            <w:tcW w:w="1421" w:type="dxa"/>
          </w:tcPr>
          <w:p>
            <w:pPr>
              <w:pStyle w:val="5"/>
              <w:rPr>
                <w:rFonts w:hint="eastAsia" w:ascii="宋体" w:hAnsi="宋体"/>
                <w:szCs w:val="21"/>
                <w:vertAlign w:val="baseline"/>
                <w:lang w:val="en-US" w:eastAsia="zh-CN"/>
              </w:rPr>
            </w:pPr>
          </w:p>
        </w:tc>
        <w:tc>
          <w:tcPr>
            <w:tcW w:w="1421" w:type="dxa"/>
          </w:tcPr>
          <w:p>
            <w:pPr>
              <w:pStyle w:val="5"/>
              <w:rPr>
                <w:rFonts w:hint="eastAsia" w:ascii="宋体" w:hAnsi="宋体"/>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tcPr>
          <w:p>
            <w:pPr>
              <w:pStyle w:val="5"/>
              <w:rPr>
                <w:rFonts w:hint="eastAsia" w:ascii="宋体" w:hAnsi="宋体"/>
                <w:szCs w:val="21"/>
                <w:vertAlign w:val="baseline"/>
                <w:lang w:val="en-US" w:eastAsia="zh-CN"/>
              </w:rPr>
            </w:pPr>
          </w:p>
        </w:tc>
        <w:tc>
          <w:tcPr>
            <w:tcW w:w="1438" w:type="dxa"/>
          </w:tcPr>
          <w:p>
            <w:pPr>
              <w:pStyle w:val="5"/>
              <w:rPr>
                <w:rFonts w:hint="eastAsia" w:ascii="宋体" w:hAnsi="宋体"/>
                <w:szCs w:val="21"/>
                <w:vertAlign w:val="baseline"/>
                <w:lang w:val="en-US" w:eastAsia="zh-CN"/>
              </w:rPr>
            </w:pPr>
          </w:p>
        </w:tc>
        <w:tc>
          <w:tcPr>
            <w:tcW w:w="1905" w:type="dxa"/>
          </w:tcPr>
          <w:p>
            <w:pPr>
              <w:pStyle w:val="5"/>
              <w:rPr>
                <w:rFonts w:hint="eastAsia" w:ascii="宋体" w:hAnsi="宋体"/>
                <w:szCs w:val="21"/>
                <w:vertAlign w:val="baseline"/>
                <w:lang w:val="en-US" w:eastAsia="zh-CN"/>
              </w:rPr>
            </w:pPr>
          </w:p>
        </w:tc>
        <w:tc>
          <w:tcPr>
            <w:tcW w:w="1420" w:type="dxa"/>
          </w:tcPr>
          <w:p>
            <w:pPr>
              <w:pStyle w:val="5"/>
              <w:rPr>
                <w:rFonts w:hint="eastAsia" w:ascii="宋体" w:hAnsi="宋体"/>
                <w:szCs w:val="21"/>
                <w:vertAlign w:val="baseline"/>
                <w:lang w:val="en-US" w:eastAsia="zh-CN"/>
              </w:rPr>
            </w:pPr>
          </w:p>
        </w:tc>
        <w:tc>
          <w:tcPr>
            <w:tcW w:w="1421" w:type="dxa"/>
          </w:tcPr>
          <w:p>
            <w:pPr>
              <w:pStyle w:val="5"/>
              <w:rPr>
                <w:rFonts w:hint="eastAsia" w:ascii="宋体" w:hAnsi="宋体"/>
                <w:szCs w:val="21"/>
                <w:vertAlign w:val="baseline"/>
                <w:lang w:val="en-US" w:eastAsia="zh-CN"/>
              </w:rPr>
            </w:pPr>
          </w:p>
        </w:tc>
        <w:tc>
          <w:tcPr>
            <w:tcW w:w="1421" w:type="dxa"/>
          </w:tcPr>
          <w:p>
            <w:pPr>
              <w:pStyle w:val="5"/>
              <w:rPr>
                <w:rFonts w:hint="eastAsia" w:ascii="宋体" w:hAnsi="宋体"/>
                <w:szCs w:val="21"/>
                <w:vertAlign w:val="baseline"/>
                <w:lang w:val="en-US" w:eastAsia="zh-CN"/>
              </w:rPr>
            </w:pPr>
          </w:p>
        </w:tc>
      </w:tr>
    </w:tbl>
    <w:p>
      <w:pPr>
        <w:pStyle w:val="2"/>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F5B8E"/>
    <w:multiLevelType w:val="singleLevel"/>
    <w:tmpl w:val="816F5B8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6E445C8B"/>
    <w:rsid w:val="6E445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toc 5"/>
    <w:basedOn w:val="1"/>
    <w:next w:val="1"/>
    <w:qFormat/>
    <w:uiPriority w:val="0"/>
    <w:pPr>
      <w:ind w:left="840"/>
      <w:jc w:val="left"/>
    </w:pPr>
    <w:rPr>
      <w:rFonts w:ascii="Calibri" w:hAnsi="Calibri" w:cs="Calibri"/>
      <w:sz w:val="18"/>
      <w:szCs w:val="18"/>
    </w:rPr>
  </w:style>
  <w:style w:type="paragraph" w:styleId="4">
    <w:name w:val="Body Text Indent"/>
    <w:basedOn w:val="1"/>
    <w:qFormat/>
    <w:uiPriority w:val="0"/>
    <w:pPr>
      <w:widowControl w:val="0"/>
      <w:spacing w:line="360" w:lineRule="auto"/>
      <w:ind w:left="608" w:hanging="608"/>
      <w:jc w:val="both"/>
    </w:pPr>
    <w:rPr>
      <w:rFonts w:ascii="宋体"/>
      <w:sz w:val="28"/>
    </w:rPr>
  </w:style>
  <w:style w:type="paragraph" w:styleId="5">
    <w:name w:val="Body Text First Indent 2"/>
    <w:basedOn w:val="4"/>
    <w:qFormat/>
    <w:uiPriority w:val="0"/>
    <w:pPr>
      <w:snapToGrid w:val="0"/>
      <w:spacing w:after="120" w:afterLines="0"/>
      <w:ind w:left="420" w:firstLine="420" w:firstLineChars="200"/>
    </w:pPr>
    <w:rPr>
      <w:rFonts w:ascii="Tahoma" w:hAnsi="Tahoma"/>
      <w:kern w:val="2"/>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widowControl/>
      <w:ind w:firstLine="420" w:firstLineChars="200"/>
      <w:jc w:val="left"/>
    </w:pPr>
    <w:rPr>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2022-12-12T01:12:00Z</dcterms:created>
  <dc:creator>Rebecca</dc:creator>
  <cp:lastModifiedBy>Rebecca</cp:lastModifiedBy>
  <dcterms:modified xsi:type="dcterms:W3CDTF">2022-12-12T01:16:08Z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1B8A7FB7DA174343AEEB11768E691AC9</vt:lpwstr>
  </property>
</Properties>
</file>