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outlineLvl w:val="1"/>
        <w:rPr>
          <w:rFonts w:hint="default" w:ascii="宋体" w:hAnsi="宋体" w:eastAsia="宋体" w:cs="宋体"/>
          <w:b/>
          <w:sz w:val="24"/>
          <w:szCs w:val="24"/>
          <w:lang w:val="en-US" w:eastAsia="zh-CN"/>
        </w:rPr>
      </w:pPr>
      <w:r>
        <w:rPr>
          <w:rFonts w:hint="eastAsia" w:ascii="宋体" w:hAnsi="宋体" w:cs="宋体"/>
          <w:b/>
          <w:sz w:val="24"/>
          <w:szCs w:val="24"/>
          <w:lang w:val="en-US" w:eastAsia="zh-CN"/>
        </w:rPr>
        <w:t>采购需求</w:t>
      </w:r>
    </w:p>
    <w:p>
      <w:pPr>
        <w:spacing w:line="360" w:lineRule="auto"/>
        <w:rPr>
          <w:szCs w:val="21"/>
          <w:highlight w:val="none"/>
        </w:rPr>
      </w:pPr>
      <w:r>
        <w:rPr>
          <w:rFonts w:hint="eastAsia"/>
          <w:b/>
          <w:szCs w:val="21"/>
          <w:highlight w:val="none"/>
        </w:rPr>
        <w:t>·总 则</w:t>
      </w:r>
    </w:p>
    <w:p>
      <w:pPr>
        <w:spacing w:line="360" w:lineRule="auto"/>
        <w:ind w:firstLine="420" w:firstLineChars="200"/>
        <w:rPr>
          <w:rFonts w:ascii="宋体" w:hAnsi="宋体"/>
          <w:szCs w:val="21"/>
          <w:highlight w:val="none"/>
        </w:rPr>
      </w:pPr>
      <w:r>
        <w:rPr>
          <w:rFonts w:hint="eastAsia" w:ascii="宋体" w:hAnsi="宋体"/>
          <w:szCs w:val="21"/>
          <w:highlight w:val="none"/>
        </w:rPr>
        <w:t>1、项目内容：</w:t>
      </w:r>
      <w:r>
        <w:rPr>
          <w:rFonts w:hint="eastAsia" w:ascii="宋体" w:hAnsi="宋体"/>
          <w:bCs/>
          <w:highlight w:val="none"/>
        </w:rPr>
        <w:t>中山市小榄人民医院</w:t>
      </w:r>
      <w:r>
        <w:rPr>
          <w:rFonts w:hint="eastAsia" w:ascii="宋体" w:hAnsi="宋体"/>
          <w:bCs/>
          <w:highlight w:val="none"/>
          <w:lang w:val="en-US" w:eastAsia="zh-CN"/>
        </w:rPr>
        <w:t>各类胶袋协议供货服务</w:t>
      </w:r>
      <w:r>
        <w:rPr>
          <w:rFonts w:hint="eastAsia" w:ascii="宋体" w:hAnsi="宋体"/>
          <w:bCs/>
          <w:highlight w:val="none"/>
        </w:rPr>
        <w:t>，</w:t>
      </w:r>
      <w:r>
        <w:rPr>
          <w:rFonts w:hint="eastAsia" w:ascii="宋体" w:hAnsi="宋体"/>
          <w:szCs w:val="21"/>
          <w:highlight w:val="none"/>
        </w:rPr>
        <w:t>供应商必须按国家、行业的标准及</w:t>
      </w:r>
      <w:r>
        <w:rPr>
          <w:rFonts w:hint="eastAsia" w:ascii="宋体" w:hAnsi="宋体"/>
          <w:szCs w:val="21"/>
          <w:highlight w:val="none"/>
          <w:lang w:val="en-US" w:eastAsia="zh-CN"/>
        </w:rPr>
        <w:t>采购需求的</w:t>
      </w:r>
      <w:r>
        <w:rPr>
          <w:rFonts w:hint="eastAsia" w:ascii="宋体" w:hAnsi="宋体"/>
          <w:szCs w:val="21"/>
          <w:highlight w:val="none"/>
        </w:rPr>
        <w:t>要求对项目提供相关服务。</w:t>
      </w:r>
    </w:p>
    <w:p>
      <w:pPr>
        <w:spacing w:line="360" w:lineRule="auto"/>
        <w:ind w:firstLine="420" w:firstLineChars="200"/>
        <w:rPr>
          <w:rFonts w:ascii="宋体" w:hAnsi="宋体"/>
          <w:highlight w:val="none"/>
        </w:rPr>
      </w:pPr>
      <w:r>
        <w:rPr>
          <w:rFonts w:hint="eastAsia" w:ascii="宋体" w:hAnsi="宋体"/>
          <w:szCs w:val="21"/>
          <w:highlight w:val="none"/>
        </w:rPr>
        <w:t>4、《</w:t>
      </w:r>
      <w:r>
        <w:rPr>
          <w:rFonts w:hint="eastAsia" w:ascii="宋体" w:hAnsi="宋体"/>
          <w:highlight w:val="none"/>
        </w:rPr>
        <w:t>用户需求书</w:t>
      </w:r>
      <w:r>
        <w:rPr>
          <w:rFonts w:hint="eastAsia" w:ascii="宋体" w:hAnsi="宋体"/>
          <w:szCs w:val="21"/>
          <w:highlight w:val="none"/>
        </w:rPr>
        <w:t>》</w:t>
      </w:r>
      <w:r>
        <w:rPr>
          <w:rFonts w:hint="eastAsia" w:ascii="宋体" w:hAnsi="宋体"/>
          <w:highlight w:val="none"/>
        </w:rPr>
        <w:t>中，</w:t>
      </w:r>
      <w:r>
        <w:rPr>
          <w:rFonts w:hint="eastAsia" w:ascii="宋体" w:hAnsi="宋体" w:cs="宋体"/>
          <w:bCs/>
          <w:szCs w:val="21"/>
          <w:highlight w:val="none"/>
        </w:rPr>
        <w:t>凡带“★”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360" w:lineRule="auto"/>
        <w:ind w:firstLine="420" w:firstLineChars="200"/>
        <w:rPr>
          <w:rFonts w:ascii="宋体" w:hAnsi="宋体" w:cs="宋体"/>
          <w:szCs w:val="21"/>
          <w:highlight w:val="none"/>
        </w:rPr>
      </w:pPr>
      <w:r>
        <w:rPr>
          <w:rFonts w:hint="eastAsia" w:ascii="宋体" w:hAnsi="宋体"/>
          <w:highlight w:val="none"/>
        </w:rPr>
        <w:t>5、项目</w:t>
      </w:r>
      <w:r>
        <w:rPr>
          <w:rFonts w:hint="eastAsia" w:ascii="宋体" w:hAnsi="宋体" w:cs="宋体"/>
          <w:szCs w:val="21"/>
          <w:highlight w:val="none"/>
        </w:rPr>
        <w:t>采用全包干的方式承包，由中标供应商负责招标文件对中标供应商要求的一切事宜责任，自负盈亏，采购人不支付任何费用</w:t>
      </w:r>
      <w:r>
        <w:rPr>
          <w:rFonts w:hint="eastAsia" w:ascii="宋体" w:hAnsi="宋体" w:cs="宋体"/>
          <w:szCs w:val="21"/>
          <w:highlight w:val="none"/>
          <w:lang w:val="en-US" w:eastAsia="zh-CN"/>
        </w:rPr>
        <w:t>或</w:t>
      </w:r>
      <w:r>
        <w:rPr>
          <w:rFonts w:hint="eastAsia" w:ascii="宋体" w:hAnsi="宋体" w:cs="宋体"/>
          <w:szCs w:val="21"/>
          <w:highlight w:val="none"/>
        </w:rPr>
        <w:t>补贴给中标供应商。中标供应商及其工作人员所产生的一切费用及责任由中标供应商负责，与采购人无关。</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6、投标人在响应投标方案中对这部分内容应尽量列出具体参数或作出详细应答。</w:t>
      </w:r>
    </w:p>
    <w:p>
      <w:pPr>
        <w:spacing w:line="360" w:lineRule="auto"/>
        <w:ind w:firstLine="420" w:firstLineChars="200"/>
        <w:rPr>
          <w:rFonts w:ascii="宋体" w:hAnsi="宋体"/>
          <w:highlight w:val="none"/>
        </w:rPr>
      </w:pPr>
      <w:r>
        <w:rPr>
          <w:rFonts w:hint="eastAsia" w:ascii="宋体" w:hAnsi="宋体"/>
          <w:highlight w:val="none"/>
        </w:rPr>
        <w:t>7、</w:t>
      </w:r>
      <w:r>
        <w:rPr>
          <w:rFonts w:hint="eastAsia" w:ascii="宋体" w:hAnsi="宋体" w:cs="宋体"/>
          <w:szCs w:val="21"/>
          <w:highlight w:val="none"/>
        </w:rPr>
        <w:t>中标供应商不得以任何方式转包或分包，否则采购人有权扣除履约保证金并自动终止合同。</w:t>
      </w:r>
    </w:p>
    <w:p>
      <w:pPr>
        <w:spacing w:line="360" w:lineRule="auto"/>
        <w:ind w:firstLine="420" w:firstLineChars="200"/>
        <w:rPr>
          <w:rFonts w:hint="eastAsia" w:ascii="宋体" w:hAnsi="宋体" w:cs="宋体"/>
          <w:b/>
          <w:szCs w:val="21"/>
        </w:rPr>
      </w:pPr>
      <w:r>
        <w:rPr>
          <w:rFonts w:hint="eastAsia" w:ascii="宋体" w:hAnsi="宋体"/>
          <w:highlight w:val="none"/>
        </w:rPr>
        <w:t>8、本项目不接受联合体投标</w:t>
      </w:r>
      <w:r>
        <w:rPr>
          <w:rFonts w:ascii="宋体" w:hAnsi="宋体"/>
          <w:highlight w:val="none"/>
        </w:rPr>
        <w:t>。</w:t>
      </w:r>
    </w:p>
    <w:p>
      <w:pPr>
        <w:spacing w:line="360" w:lineRule="auto"/>
        <w:ind w:firstLine="422" w:firstLineChars="200"/>
        <w:outlineLvl w:val="1"/>
        <w:rPr>
          <w:rFonts w:ascii="宋体" w:hAnsi="宋体" w:cs="宋体"/>
          <w:b/>
          <w:szCs w:val="21"/>
        </w:rPr>
      </w:pPr>
      <w:r>
        <w:rPr>
          <w:rFonts w:hint="eastAsia" w:ascii="宋体" w:hAnsi="宋体" w:cs="宋体"/>
          <w:b/>
          <w:szCs w:val="21"/>
        </w:rPr>
        <w:t>（一）基本要求</w:t>
      </w:r>
    </w:p>
    <w:p>
      <w:pPr>
        <w:spacing w:line="360" w:lineRule="auto"/>
        <w:ind w:firstLine="420" w:firstLineChars="200"/>
        <w:rPr>
          <w:rFonts w:hint="eastAsia" w:ascii="宋体" w:hAnsi="宋体" w:eastAsia="宋体"/>
          <w:color w:val="000000" w:themeColor="text1"/>
          <w:sz w:val="18"/>
          <w:szCs w:val="18"/>
          <w14:textFill>
            <w14:solidFill>
              <w14:schemeClr w14:val="tx1"/>
            </w14:solidFill>
          </w14:textFill>
        </w:rPr>
      </w:pPr>
      <w:r>
        <w:rPr>
          <w:rFonts w:hint="eastAsia" w:ascii="宋体" w:hAnsi="宋体" w:cs="宋体"/>
          <w:szCs w:val="21"/>
          <w:lang w:val="en-US" w:eastAsia="zh-CN"/>
        </w:rPr>
        <w:t>1、资质要求：</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供应商具有独立承担民事责任能力的在中华人民共和国境内注册的法人或其他组织营业执照，经营范围含项目相关内容</w:t>
      </w:r>
      <w:r>
        <w:rPr>
          <w:rFonts w:hint="eastAsia" w:ascii="宋体" w:hAnsi="宋体" w:cs="宋体"/>
          <w:szCs w:val="21"/>
          <w:lang w:eastAsia="zh-CN"/>
        </w:rPr>
        <w:t>；</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）响应供应商务须具有有效的且具备相关经营范围的营业执照；</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）响应供应商应具有项目的承接能力、合同的履约能力、售后服务能力和良好的信誉。</w:t>
      </w:r>
    </w:p>
    <w:p>
      <w:pPr>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交货地点：中山市小榄人民医院日用品仓库</w:t>
      </w:r>
    </w:p>
    <w:p>
      <w:pPr>
        <w:numPr>
          <w:ilvl w:val="0"/>
          <w:numId w:val="0"/>
        </w:numPr>
        <w:spacing w:line="360" w:lineRule="auto"/>
        <w:ind w:firstLine="241" w:firstLineChars="100"/>
        <w:rPr>
          <w:rFonts w:ascii="宋体" w:hAnsi="宋体" w:cs="宋体"/>
          <w:szCs w:val="21"/>
          <w:highlight w:val="none"/>
        </w:rPr>
      </w:pPr>
      <w:r>
        <w:rPr>
          <w:rFonts w:hint="eastAsia" w:asciiTheme="minorEastAsia" w:hAnsiTheme="minorEastAsia"/>
          <w:b/>
          <w:bCs/>
          <w:color w:val="auto"/>
          <w:sz w:val="24"/>
          <w:szCs w:val="24"/>
          <w:highlight w:val="none"/>
        </w:rPr>
        <w:t>★</w:t>
      </w:r>
      <w:r>
        <w:rPr>
          <w:rFonts w:hint="eastAsia" w:asciiTheme="minorEastAsia" w:hAnsiTheme="minorEastAsia"/>
          <w:b w:val="0"/>
          <w:bCs w:val="0"/>
          <w:color w:val="auto"/>
          <w:sz w:val="24"/>
          <w:szCs w:val="24"/>
          <w:highlight w:val="none"/>
          <w:lang w:val="en-US" w:eastAsia="zh-CN"/>
        </w:rPr>
        <w:t>3、</w:t>
      </w:r>
      <w:r>
        <w:rPr>
          <w:rFonts w:hint="eastAsia" w:ascii="宋体" w:hAnsi="宋体" w:cs="宋体"/>
          <w:szCs w:val="21"/>
          <w:highlight w:val="none"/>
        </w:rPr>
        <w:t>供货期限：</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color w:val="auto"/>
          <w:szCs w:val="21"/>
          <w:highlight w:val="none"/>
          <w:lang w:val="en-US" w:eastAsia="zh-CN"/>
        </w:rPr>
        <w:t>。如在供货期内，采购人对成交供应商所提供的货物不满意（</w:t>
      </w:r>
      <w:r>
        <w:rPr>
          <w:rFonts w:hint="eastAsia" w:ascii="宋体" w:hAnsi="宋体" w:cs="宋体"/>
          <w:color w:val="auto"/>
          <w:szCs w:val="21"/>
          <w:highlight w:val="none"/>
        </w:rPr>
        <w:t>在使用过程中发现以次充好或使用假冒伪劣产品</w:t>
      </w:r>
      <w:r>
        <w:rPr>
          <w:rFonts w:hint="eastAsia" w:ascii="宋体" w:hAnsi="宋体" w:cs="宋体"/>
          <w:color w:val="auto"/>
          <w:szCs w:val="21"/>
          <w:highlight w:val="none"/>
          <w:lang w:val="en-US" w:eastAsia="zh-CN"/>
        </w:rPr>
        <w:t>2次以上</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或超过</w:t>
      </w:r>
      <w:r>
        <w:rPr>
          <w:rFonts w:hint="eastAsia" w:ascii="宋体" w:hAnsi="宋体" w:cs="宋体"/>
          <w:color w:val="auto"/>
          <w:szCs w:val="21"/>
          <w:highlight w:val="none"/>
        </w:rPr>
        <w:t>规定交货期限</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0天成交供应商仍不能交货的</w:t>
      </w:r>
      <w:r>
        <w:rPr>
          <w:rFonts w:hint="eastAsia" w:ascii="宋体" w:hAnsi="宋体" w:cs="宋体"/>
          <w:color w:val="auto"/>
          <w:szCs w:val="21"/>
          <w:highlight w:val="none"/>
          <w:lang w:val="en-US" w:eastAsia="zh-CN"/>
        </w:rPr>
        <w:t>），采购人有权单方终止合同。</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4、</w:t>
      </w:r>
      <w:r>
        <w:rPr>
          <w:rFonts w:hint="eastAsia" w:ascii="宋体" w:hAnsi="宋体" w:cs="宋体"/>
          <w:szCs w:val="21"/>
          <w:highlight w:val="none"/>
        </w:rPr>
        <w:t>本项目</w:t>
      </w:r>
      <w:r>
        <w:rPr>
          <w:rFonts w:hint="eastAsia" w:ascii="宋体" w:hAnsi="宋体" w:eastAsia="宋体"/>
          <w:color w:val="000000"/>
          <w:szCs w:val="21"/>
          <w:highlight w:val="none"/>
        </w:rPr>
        <w:t>预算金额</w:t>
      </w:r>
      <w:r>
        <w:rPr>
          <w:rFonts w:hint="eastAsia" w:ascii="宋体" w:hAnsi="宋体"/>
          <w:color w:val="000000"/>
          <w:szCs w:val="21"/>
          <w:highlight w:val="none"/>
          <w:lang w:val="en-US" w:eastAsia="zh-CN"/>
        </w:rPr>
        <w:t>总价上限</w:t>
      </w:r>
      <w:r>
        <w:rPr>
          <w:rFonts w:hint="eastAsia" w:ascii="宋体" w:hAnsi="宋体" w:eastAsia="宋体"/>
          <w:color w:val="000000"/>
          <w:szCs w:val="21"/>
          <w:highlight w:val="none"/>
        </w:rPr>
        <w:t>为</w:t>
      </w:r>
      <w:r>
        <w:rPr>
          <w:rFonts w:hint="eastAsia" w:ascii="宋体" w:hAnsi="宋体" w:cs="宋体"/>
          <w:szCs w:val="21"/>
          <w:highlight w:val="none"/>
        </w:rPr>
        <w:t>为</w:t>
      </w:r>
      <w:r>
        <w:rPr>
          <w:rFonts w:hint="eastAsia" w:ascii="宋体" w:hAnsi="宋体" w:cs="宋体"/>
          <w:szCs w:val="21"/>
          <w:highlight w:val="none"/>
          <w:u w:val="single"/>
          <w:lang w:val="en-US" w:eastAsia="zh-CN"/>
        </w:rPr>
        <w:t>¥95000</w:t>
      </w:r>
      <w:r>
        <w:rPr>
          <w:rFonts w:hint="eastAsia" w:ascii="宋体" w:hAnsi="宋体" w:cs="宋体"/>
          <w:szCs w:val="21"/>
          <w:highlight w:val="none"/>
        </w:rPr>
        <w:t>元</w:t>
      </w:r>
      <w:r>
        <w:rPr>
          <w:rFonts w:hint="eastAsia" w:ascii="宋体" w:hAnsi="宋体" w:cs="宋体"/>
          <w:szCs w:val="21"/>
          <w:highlight w:val="none"/>
          <w:lang w:eastAsia="zh-CN"/>
        </w:rPr>
        <w:t>。</w:t>
      </w:r>
    </w:p>
    <w:p>
      <w:pPr>
        <w:spacing w:line="360" w:lineRule="auto"/>
        <w:ind w:firstLine="241" w:firstLineChars="100"/>
        <w:rPr>
          <w:rFonts w:hint="eastAsia" w:ascii="宋体" w:hAnsi="宋体" w:cs="宋体"/>
          <w:szCs w:val="21"/>
          <w:highlight w:val="none"/>
        </w:rPr>
      </w:pPr>
      <w:r>
        <w:rPr>
          <w:rFonts w:hint="eastAsia" w:asciiTheme="minorEastAsia" w:hAnsiTheme="minorEastAsia"/>
          <w:b/>
          <w:bCs/>
          <w:color w:val="auto"/>
          <w:sz w:val="24"/>
          <w:szCs w:val="24"/>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交货方式：</w:t>
      </w:r>
    </w:p>
    <w:p>
      <w:pPr>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在收到采购人下单通知后</w:t>
      </w:r>
      <w:r>
        <w:rPr>
          <w:rFonts w:hint="eastAsia" w:ascii="宋体" w:hAnsi="宋体" w:cs="宋体"/>
          <w:szCs w:val="21"/>
          <w:u w:val="single"/>
          <w:lang w:val="en-US" w:eastAsia="zh-CN"/>
        </w:rPr>
        <w:t>5</w:t>
      </w:r>
      <w:r>
        <w:rPr>
          <w:rFonts w:hint="eastAsia" w:ascii="宋体" w:hAnsi="宋体" w:cs="宋体"/>
          <w:szCs w:val="21"/>
        </w:rPr>
        <w:t>个工作日内把指定货物交付到中山市小榄人民医院。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lang w:val="en-US" w:eastAsia="zh-CN"/>
        </w:rPr>
        <w:t>成交供应商逾期交货的，则每逾期一天按合同总价的5‰支付违约金给采购人。如超过合同规定交货期限10天成交供应商仍不能交货的，则视为成交供应商不能交货，成交供应商不能交货的，则按合同总价30%支付违约金给采购人。同时，采购人有权单方面解除合同且履约保证金不再退还。如上述违约金及履约保证金的金额仍不足以补偿采购人因成交供应商违约造成的损失，采购人有权进一步向成交供应商提出索赔。</w:t>
      </w:r>
    </w:p>
    <w:p>
      <w:pPr>
        <w:spacing w:line="360" w:lineRule="auto"/>
        <w:ind w:firstLine="420" w:firstLineChars="200"/>
        <w:rPr>
          <w:rFonts w:ascii="宋体" w:hAnsi="宋体" w:cs="宋体"/>
          <w:color w:val="FF0000"/>
          <w:szCs w:val="21"/>
        </w:rPr>
      </w:pPr>
      <w:r>
        <w:rPr>
          <w:rFonts w:hint="eastAsia" w:ascii="宋体" w:hAnsi="宋体" w:cs="宋体"/>
          <w:szCs w:val="21"/>
          <w:lang w:val="en-US" w:eastAsia="zh-CN"/>
        </w:rPr>
        <w:t>6、</w:t>
      </w:r>
      <w:r>
        <w:rPr>
          <w:rFonts w:hint="eastAsia" w:ascii="宋体" w:hAnsi="宋体" w:cs="宋体"/>
          <w:szCs w:val="21"/>
        </w:rPr>
        <w:t>成交供应商不得以任何方式转包或分包本项目，否则视为成交供应商毁约。</w:t>
      </w:r>
    </w:p>
    <w:p>
      <w:pPr>
        <w:spacing w:line="360" w:lineRule="auto"/>
        <w:ind w:firstLine="420" w:firstLineChars="20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在协议供货期内，如产品遇到停产情况的，成交供应商需提前15天书面告知采购人并经采购人同意后，提供等同于或优于原参数的产品供采购人使用，不得断供。</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采购人无法预计也无法保证向成交供应商采购的品种及数量,采购人按照本单位使用情况下单所需物品数量，成交供应商不得对采购人所采购物品数量作要求或质疑。</w:t>
      </w:r>
    </w:p>
    <w:p>
      <w:pPr>
        <w:numPr>
          <w:ilvl w:val="0"/>
          <w:numId w:val="0"/>
        </w:numPr>
        <w:spacing w:line="360" w:lineRule="auto"/>
        <w:ind w:leftChars="0"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新冠肺炎疫情期间，成交供应商送货时应按国家防疫要求及采购人相关要求</w:t>
      </w:r>
      <w:r>
        <w:rPr>
          <w:rFonts w:hint="eastAsia" w:ascii="宋体" w:hAnsi="宋体" w:cs="宋体"/>
          <w:szCs w:val="21"/>
          <w:lang w:eastAsia="zh-CN"/>
        </w:rPr>
        <w:t>，</w:t>
      </w:r>
      <w:r>
        <w:rPr>
          <w:rFonts w:hint="eastAsia" w:ascii="宋体" w:hAnsi="宋体" w:cs="宋体"/>
          <w:szCs w:val="21"/>
          <w:lang w:val="en-US" w:eastAsia="zh-CN"/>
        </w:rPr>
        <w:t>积假</w:t>
      </w:r>
      <w:r>
        <w:rPr>
          <w:rFonts w:hint="eastAsia" w:ascii="宋体" w:hAnsi="宋体" w:cs="宋体"/>
          <w:szCs w:val="21"/>
        </w:rPr>
        <w:t>配合做好防疫工作。</w:t>
      </w:r>
    </w:p>
    <w:p>
      <w:pPr>
        <w:numPr>
          <w:ilvl w:val="0"/>
          <w:numId w:val="0"/>
        </w:numPr>
        <w:spacing w:line="360" w:lineRule="auto"/>
        <w:ind w:leftChars="0" w:firstLine="420" w:firstLineChars="200"/>
        <w:rPr>
          <w:rFonts w:hint="eastAsia" w:ascii="宋体" w:hAnsi="宋体" w:cs="宋体"/>
          <w:szCs w:val="21"/>
          <w:lang w:val="en-US" w:eastAsia="zh-CN"/>
        </w:rPr>
      </w:pPr>
      <w:r>
        <w:rPr>
          <w:rFonts w:hint="eastAsia" w:ascii="宋体" w:hAnsi="宋体" w:cs="宋体"/>
          <w:szCs w:val="21"/>
          <w:lang w:val="en-US" w:eastAsia="zh-CN"/>
        </w:rPr>
        <w:t>10、本次采购只进行供应商供货资格的招标，本次招标为协议供货资格的取得，并不代表货物已售出，采购人无法预计也无法保证向成交供应商采购的数量。采购人按照本单位使用情况下单所需货物数量，成交供应商不得对采购人所采购货物数量作要求或质疑。本项目的采购数量为一年内预计发生量，结算时以实际发生量为准。本项目以供货期满或项目预算使用完毕为结束时间点。</w:t>
      </w:r>
    </w:p>
    <w:p>
      <w:pPr>
        <w:spacing w:line="360" w:lineRule="auto"/>
        <w:ind w:firstLine="413" w:firstLineChars="196"/>
        <w:outlineLvl w:val="1"/>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（二） 采购清单</w:t>
      </w:r>
    </w:p>
    <w:tbl>
      <w:tblPr>
        <w:tblStyle w:val="6"/>
        <w:tblW w:w="7893" w:type="dxa"/>
        <w:jc w:val="center"/>
        <w:tblLayout w:type="fixed"/>
        <w:tblCellMar>
          <w:top w:w="0" w:type="dxa"/>
          <w:left w:w="108" w:type="dxa"/>
          <w:bottom w:w="0" w:type="dxa"/>
          <w:right w:w="108" w:type="dxa"/>
        </w:tblCellMar>
      </w:tblPr>
      <w:tblGrid>
        <w:gridCol w:w="528"/>
        <w:gridCol w:w="1854"/>
        <w:gridCol w:w="2931"/>
        <w:gridCol w:w="567"/>
        <w:gridCol w:w="853"/>
        <w:gridCol w:w="1160"/>
      </w:tblGrid>
      <w:tr>
        <w:trPr>
          <w:trHeight w:val="63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序号</w:t>
            </w:r>
          </w:p>
        </w:tc>
        <w:tc>
          <w:tcPr>
            <w:tcW w:w="185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采购物品</w:t>
            </w:r>
          </w:p>
        </w:tc>
        <w:tc>
          <w:tcPr>
            <w:tcW w:w="293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规格</w:t>
            </w: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单位</w:t>
            </w:r>
          </w:p>
        </w:tc>
        <w:tc>
          <w:tcPr>
            <w:tcW w:w="85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sz w:val="18"/>
                <w:szCs w:val="18"/>
                <w:highlight w:val="none"/>
                <w:lang w:val="en-US" w:eastAsia="zh-CN"/>
              </w:rPr>
            </w:pPr>
            <w:r>
              <w:rPr>
                <w:rFonts w:hint="eastAsia" w:ascii="宋体" w:hAnsi="宋体" w:cs="宋体"/>
                <w:b/>
                <w:bCs/>
                <w:color w:val="000000"/>
                <w:sz w:val="18"/>
                <w:szCs w:val="18"/>
                <w:highlight w:val="none"/>
                <w:lang w:val="en-US" w:eastAsia="zh-CN"/>
              </w:rPr>
              <w:t>预估</w:t>
            </w:r>
          </w:p>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数量</w:t>
            </w:r>
          </w:p>
        </w:tc>
        <w:tc>
          <w:tcPr>
            <w:tcW w:w="11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单价最高限价</w:t>
            </w:r>
          </w:p>
          <w:p>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（元）</w:t>
            </w:r>
          </w:p>
        </w:tc>
      </w:tr>
      <w:tr>
        <w:trPr>
          <w:trHeight w:val="279"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1</w:t>
            </w:r>
          </w:p>
        </w:tc>
        <w:tc>
          <w:tcPr>
            <w:tcW w:w="185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 xml:space="preserve">10斤 </w:t>
            </w:r>
            <w:r>
              <w:rPr>
                <w:rFonts w:hint="eastAsia" w:ascii="宋体" w:hAnsi="宋体" w:cs="宋体"/>
                <w:color w:val="000000"/>
                <w:sz w:val="18"/>
                <w:szCs w:val="18"/>
                <w:highlight w:val="none"/>
              </w:rPr>
              <w:t>白色背心胶袋</w:t>
            </w:r>
          </w:p>
        </w:tc>
        <w:tc>
          <w:tcPr>
            <w:tcW w:w="2931"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rPr>
              <w:t>58*32+16cm</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100个/扎、PO材质、厚3C</w:t>
            </w:r>
          </w:p>
        </w:tc>
        <w:tc>
          <w:tcPr>
            <w:tcW w:w="5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扎</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color w:val="00000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350</w:t>
            </w:r>
          </w:p>
        </w:tc>
        <w:tc>
          <w:tcPr>
            <w:tcW w:w="11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22</w:t>
            </w:r>
          </w:p>
        </w:tc>
      </w:tr>
      <w:tr>
        <w:tblPrEx>
          <w:tblCellMar>
            <w:top w:w="0" w:type="dxa"/>
            <w:left w:w="108" w:type="dxa"/>
            <w:bottom w:w="0" w:type="dxa"/>
            <w:right w:w="108" w:type="dxa"/>
          </w:tblCellMar>
        </w:tblPrEx>
        <w:trPr>
          <w:trHeight w:val="64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val="0"/>
                <w:bCs w:val="0"/>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2</w:t>
            </w:r>
          </w:p>
        </w:tc>
        <w:tc>
          <w:tcPr>
            <w:tcW w:w="1854"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绿色背心胶袋</w:t>
            </w:r>
          </w:p>
        </w:tc>
        <w:tc>
          <w:tcPr>
            <w:tcW w:w="29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rPr>
              <w:t>25*20.5+4.5cm</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100个/扎、PO材质、厚6C</w:t>
            </w:r>
          </w:p>
        </w:tc>
        <w:tc>
          <w:tcPr>
            <w:tcW w:w="5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扎</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color w:val="00000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66</w:t>
            </w:r>
          </w:p>
        </w:tc>
        <w:tc>
          <w:tcPr>
            <w:tcW w:w="11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50</w:t>
            </w:r>
          </w:p>
        </w:tc>
      </w:tr>
      <w:tr>
        <w:trPr>
          <w:trHeight w:val="32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val="0"/>
                <w:bCs w:val="0"/>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3</w:t>
            </w:r>
          </w:p>
        </w:tc>
        <w:tc>
          <w:tcPr>
            <w:tcW w:w="185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rPr>
              <w:t>3斤 白色背心胶袋</w:t>
            </w:r>
          </w:p>
        </w:tc>
        <w:tc>
          <w:tcPr>
            <w:tcW w:w="29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rPr>
              <w:t>30*18+10cm</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rPr>
              <w:t>100个/扎</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PO材质、厚</w:t>
            </w:r>
            <w:r>
              <w:rPr>
                <w:rFonts w:hint="eastAsia" w:ascii="宋体" w:hAnsi="宋体" w:cs="宋体"/>
                <w:color w:val="000000"/>
                <w:sz w:val="18"/>
                <w:szCs w:val="18"/>
                <w:highlight w:val="none"/>
              </w:rPr>
              <w:t>1.4C</w:t>
            </w:r>
          </w:p>
        </w:tc>
        <w:tc>
          <w:tcPr>
            <w:tcW w:w="5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扎</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color w:val="00000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11500</w:t>
            </w:r>
          </w:p>
        </w:tc>
        <w:tc>
          <w:tcPr>
            <w:tcW w:w="11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4.2</w:t>
            </w:r>
          </w:p>
        </w:tc>
      </w:tr>
      <w:tr>
        <w:tblPrEx>
          <w:tblCellMar>
            <w:top w:w="0" w:type="dxa"/>
            <w:left w:w="108" w:type="dxa"/>
            <w:bottom w:w="0" w:type="dxa"/>
            <w:right w:w="108" w:type="dxa"/>
          </w:tblCellMar>
        </w:tblPrEx>
        <w:trPr>
          <w:trHeight w:val="41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val="0"/>
                <w:bCs w:val="0"/>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4</w:t>
            </w:r>
          </w:p>
        </w:tc>
        <w:tc>
          <w:tcPr>
            <w:tcW w:w="185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rPr>
              <w:t>5斤 白色背心胶袋</w:t>
            </w:r>
          </w:p>
        </w:tc>
        <w:tc>
          <w:tcPr>
            <w:tcW w:w="29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rPr>
              <w:t>35*21+10cm</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rPr>
              <w:t>100个/扎</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PO材质、厚</w:t>
            </w:r>
            <w:r>
              <w:rPr>
                <w:rFonts w:hint="eastAsia" w:ascii="宋体" w:hAnsi="宋体" w:cs="宋体"/>
                <w:color w:val="000000"/>
                <w:sz w:val="18"/>
                <w:szCs w:val="18"/>
                <w:highlight w:val="none"/>
              </w:rPr>
              <w:t>1.4C</w:t>
            </w:r>
          </w:p>
        </w:tc>
        <w:tc>
          <w:tcPr>
            <w:tcW w:w="5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扎</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color w:val="00000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2000</w:t>
            </w:r>
          </w:p>
        </w:tc>
        <w:tc>
          <w:tcPr>
            <w:tcW w:w="11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5.2</w:t>
            </w:r>
          </w:p>
        </w:tc>
      </w:tr>
      <w:tr>
        <w:tblPrEx>
          <w:tblCellMar>
            <w:top w:w="0" w:type="dxa"/>
            <w:left w:w="108" w:type="dxa"/>
            <w:bottom w:w="0" w:type="dxa"/>
            <w:right w:w="108" w:type="dxa"/>
          </w:tblCellMar>
        </w:tblPrEx>
        <w:trPr>
          <w:trHeight w:val="2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val="0"/>
                <w:bCs w:val="0"/>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5</w:t>
            </w:r>
          </w:p>
        </w:tc>
        <w:tc>
          <w:tcPr>
            <w:tcW w:w="185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透明平口胶袋</w:t>
            </w:r>
          </w:p>
        </w:tc>
        <w:tc>
          <w:tcPr>
            <w:tcW w:w="29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rPr>
              <w:t>62*50+10*2cm</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rPr>
              <w:t>100个/扎</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PO材质、厚3</w:t>
            </w:r>
            <w:r>
              <w:rPr>
                <w:rFonts w:hint="eastAsia" w:ascii="宋体" w:hAnsi="宋体" w:cs="宋体"/>
                <w:color w:val="000000"/>
                <w:sz w:val="18"/>
                <w:szCs w:val="18"/>
                <w:highlight w:val="none"/>
              </w:rPr>
              <w:t>C</w:t>
            </w:r>
          </w:p>
        </w:tc>
        <w:tc>
          <w:tcPr>
            <w:tcW w:w="5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扎</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color w:val="00000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100</w:t>
            </w:r>
          </w:p>
        </w:tc>
        <w:tc>
          <w:tcPr>
            <w:tcW w:w="11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32</w:t>
            </w:r>
          </w:p>
        </w:tc>
      </w:tr>
      <w:tr>
        <w:tblPrEx>
          <w:tblCellMar>
            <w:top w:w="0" w:type="dxa"/>
            <w:left w:w="108" w:type="dxa"/>
            <w:bottom w:w="0" w:type="dxa"/>
            <w:right w:w="108" w:type="dxa"/>
          </w:tblCellMar>
        </w:tblPrEx>
        <w:trPr>
          <w:trHeight w:val="383"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val="0"/>
                <w:bCs w:val="0"/>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6</w:t>
            </w:r>
          </w:p>
        </w:tc>
        <w:tc>
          <w:tcPr>
            <w:tcW w:w="185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rPr>
              <w:t>7斤 白色背心胶袋</w:t>
            </w:r>
          </w:p>
        </w:tc>
        <w:tc>
          <w:tcPr>
            <w:tcW w:w="29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sz w:val="18"/>
                <w:szCs w:val="18"/>
                <w:highlight w:val="none"/>
                <w:lang w:eastAsia="zh-CN"/>
              </w:rPr>
            </w:pPr>
            <w:r>
              <w:rPr>
                <w:rFonts w:hint="eastAsia" w:ascii="宋体" w:hAnsi="宋体" w:cs="宋体"/>
                <w:color w:val="000000"/>
                <w:sz w:val="18"/>
                <w:szCs w:val="18"/>
                <w:highlight w:val="none"/>
              </w:rPr>
              <w:t>41*24+10cm</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rPr>
              <w:t>100个/扎</w:t>
            </w:r>
            <w:r>
              <w:rPr>
                <w:rFonts w:hint="eastAsia" w:ascii="宋体" w:hAnsi="宋体" w:cs="宋体"/>
                <w:color w:val="000000"/>
                <w:sz w:val="18"/>
                <w:szCs w:val="18"/>
                <w:highlight w:val="none"/>
                <w:lang w:val="en-US" w:eastAsia="zh-CN"/>
              </w:rPr>
              <w:t>PO材质、厚</w:t>
            </w:r>
            <w:r>
              <w:rPr>
                <w:rFonts w:hint="eastAsia" w:ascii="宋体" w:hAnsi="宋体" w:cs="宋体"/>
                <w:color w:val="000000"/>
                <w:sz w:val="18"/>
                <w:szCs w:val="18"/>
                <w:highlight w:val="none"/>
              </w:rPr>
              <w:t>1.4C</w:t>
            </w:r>
          </w:p>
        </w:tc>
        <w:tc>
          <w:tcPr>
            <w:tcW w:w="5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扎</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val="0"/>
                <w:color w:val="000000"/>
                <w:sz w:val="18"/>
                <w:szCs w:val="18"/>
                <w:highlight w:val="none"/>
                <w:lang w:val="en-US"/>
              </w:rPr>
            </w:pPr>
            <w:r>
              <w:rPr>
                <w:rFonts w:hint="eastAsia" w:ascii="宋体" w:hAnsi="宋体" w:cs="宋体"/>
                <w:b w:val="0"/>
                <w:bCs w:val="0"/>
                <w:i w:val="0"/>
                <w:iCs w:val="0"/>
                <w:color w:val="000000"/>
                <w:kern w:val="0"/>
                <w:sz w:val="18"/>
                <w:szCs w:val="18"/>
                <w:highlight w:val="none"/>
                <w:u w:val="none"/>
                <w:lang w:val="en-US" w:eastAsia="zh-CN" w:bidi="ar"/>
              </w:rPr>
              <w:t>2800</w:t>
            </w:r>
          </w:p>
        </w:tc>
        <w:tc>
          <w:tcPr>
            <w:tcW w:w="11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7.1</w:t>
            </w:r>
          </w:p>
        </w:tc>
      </w:tr>
      <w:tr>
        <w:tblPrEx>
          <w:tblCellMar>
            <w:top w:w="0" w:type="dxa"/>
            <w:left w:w="108" w:type="dxa"/>
            <w:bottom w:w="0" w:type="dxa"/>
            <w:right w:w="108" w:type="dxa"/>
          </w:tblCellMar>
        </w:tblPrEx>
        <w:trPr>
          <w:trHeight w:val="42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val="0"/>
                <w:bCs w:val="0"/>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7</w:t>
            </w:r>
          </w:p>
        </w:tc>
        <w:tc>
          <w:tcPr>
            <w:tcW w:w="185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rPr>
              <w:t>1斤 白色背心胶袋</w:t>
            </w:r>
          </w:p>
        </w:tc>
        <w:tc>
          <w:tcPr>
            <w:tcW w:w="29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rPr>
              <w:t>21*15+8cm</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rPr>
              <w:t>100个/扎</w:t>
            </w:r>
            <w:r>
              <w:rPr>
                <w:rFonts w:hint="eastAsia" w:ascii="宋体" w:hAnsi="宋体" w:cs="宋体"/>
                <w:color w:val="000000"/>
                <w:sz w:val="18"/>
                <w:szCs w:val="18"/>
                <w:highlight w:val="none"/>
                <w:lang w:val="en-US" w:eastAsia="zh-CN"/>
              </w:rPr>
              <w:t>PO材质、厚</w:t>
            </w:r>
            <w:r>
              <w:rPr>
                <w:rFonts w:hint="eastAsia" w:ascii="宋体" w:hAnsi="宋体" w:cs="宋体"/>
                <w:color w:val="000000"/>
                <w:sz w:val="18"/>
                <w:szCs w:val="18"/>
                <w:highlight w:val="none"/>
              </w:rPr>
              <w:t>1.4C</w:t>
            </w:r>
          </w:p>
        </w:tc>
        <w:tc>
          <w:tcPr>
            <w:tcW w:w="5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扎</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color w:val="00000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600</w:t>
            </w:r>
          </w:p>
        </w:tc>
        <w:tc>
          <w:tcPr>
            <w:tcW w:w="11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3.7</w:t>
            </w:r>
          </w:p>
        </w:tc>
      </w:tr>
    </w:tbl>
    <w:p>
      <w:pPr>
        <w:spacing w:line="360" w:lineRule="auto"/>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rPr>
        <w:t>供应商对以上采购清单的货物逐项进行分项报价，分项报价不得高于单价的最高限价，且总报价不得高于本项目采购预算价。</w:t>
      </w:r>
    </w:p>
    <w:p>
      <w:pPr>
        <w:spacing w:line="360" w:lineRule="auto"/>
        <w:ind w:firstLine="210" w:firstLineChars="100"/>
        <w:rPr>
          <w:rFonts w:hint="eastAsia" w:ascii="宋体" w:hAnsi="宋体" w:cs="宋体"/>
          <w:b/>
          <w:szCs w:val="21"/>
          <w:highlight w:val="none"/>
          <w:lang w:val="en-US" w:eastAsia="zh-CN"/>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bCs/>
          <w:color w:val="000000"/>
          <w:szCs w:val="21"/>
          <w:lang w:val="zh-CN"/>
        </w:rPr>
        <w:t>供应商必须提</w:t>
      </w:r>
      <w:r>
        <w:rPr>
          <w:rFonts w:hint="eastAsia" w:ascii="宋体" w:hAnsi="宋体"/>
          <w:bCs/>
          <w:color w:val="000000"/>
          <w:szCs w:val="21"/>
        </w:rPr>
        <w:t>交</w:t>
      </w:r>
      <w:r>
        <w:rPr>
          <w:rFonts w:hint="eastAsia" w:ascii="宋体" w:hAnsi="宋体"/>
          <w:bCs/>
          <w:color w:val="000000"/>
          <w:szCs w:val="21"/>
          <w:lang w:val="en-US" w:eastAsia="zh-CN"/>
        </w:rPr>
        <w:t>所有采购物品的</w:t>
      </w:r>
      <w:r>
        <w:rPr>
          <w:rFonts w:hint="eastAsia" w:ascii="宋体" w:hAnsi="宋体"/>
          <w:bCs/>
          <w:color w:val="000000"/>
          <w:szCs w:val="21"/>
          <w:lang w:val="zh-CN"/>
        </w:rPr>
        <w:t>实物样品</w:t>
      </w:r>
      <w:r>
        <w:rPr>
          <w:rFonts w:hint="eastAsia" w:ascii="宋体" w:hAnsi="宋体"/>
          <w:bCs/>
          <w:color w:val="000000"/>
          <w:szCs w:val="21"/>
        </w:rPr>
        <w:t>以供评审</w:t>
      </w:r>
      <w:r>
        <w:rPr>
          <w:rFonts w:hint="eastAsia" w:ascii="宋体" w:hAnsi="宋体"/>
          <w:bCs/>
          <w:color w:val="000000"/>
          <w:szCs w:val="21"/>
          <w:lang w:eastAsia="zh-CN"/>
        </w:rPr>
        <w:t>，</w:t>
      </w:r>
      <w:r>
        <w:rPr>
          <w:rFonts w:hint="eastAsia" w:ascii="宋体" w:hAnsi="宋体"/>
          <w:bCs/>
          <w:color w:val="000000"/>
          <w:szCs w:val="21"/>
        </w:rPr>
        <w:t>成交供应商的</w:t>
      </w:r>
      <w:r>
        <w:rPr>
          <w:rFonts w:hint="eastAsia" w:ascii="宋体" w:hAnsi="宋体"/>
          <w:bCs/>
          <w:color w:val="000000"/>
          <w:szCs w:val="21"/>
          <w:lang w:val="zh-CN"/>
        </w:rPr>
        <w:t>实物样品封存于采购人单位，作为成交供应商供货的验收依据。</w:t>
      </w:r>
    </w:p>
    <w:p>
      <w:pPr>
        <w:spacing w:line="360" w:lineRule="auto"/>
        <w:ind w:firstLine="413" w:firstLineChars="196"/>
        <w:outlineLvl w:val="1"/>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 技术参数要求</w:t>
      </w:r>
    </w:p>
    <w:p>
      <w:pPr>
        <w:spacing w:line="360" w:lineRule="auto"/>
        <w:ind w:firstLine="312" w:firstLineChars="149"/>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rPr>
        <w:t>外观：无明显水纹、云雾、条纹、划痕，不允许有气泡、穿孔及划痕。</w:t>
      </w:r>
    </w:p>
    <w:p>
      <w:pPr>
        <w:spacing w:line="360" w:lineRule="auto"/>
        <w:ind w:firstLine="105" w:firstLineChars="50"/>
        <w:rPr>
          <w:rFonts w:hint="eastAsia" w:ascii="宋体" w:hAnsi="宋体"/>
          <w:b/>
          <w:color w:val="000000"/>
          <w:szCs w:val="21"/>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材质：使用全新材料制作。</w:t>
      </w:r>
    </w:p>
    <w:p>
      <w:pPr>
        <w:spacing w:line="360" w:lineRule="auto"/>
        <w:ind w:firstLine="315" w:firstLineChars="150"/>
        <w:rPr>
          <w:rFonts w:hint="eastAsia" w:ascii="宋体" w:hAnsi="宋体"/>
          <w:color w:val="000000"/>
          <w:szCs w:val="21"/>
        </w:rPr>
      </w:pPr>
      <w:r>
        <w:rPr>
          <w:rFonts w:hint="eastAsia" w:ascii="宋体" w:hAnsi="宋体"/>
          <w:color w:val="000000"/>
          <w:szCs w:val="21"/>
        </w:rPr>
        <w:t>3</w:t>
      </w:r>
      <w:r>
        <w:rPr>
          <w:rFonts w:hint="eastAsia" w:ascii="宋体" w:hAnsi="宋体"/>
          <w:color w:val="000000"/>
          <w:szCs w:val="21"/>
          <w:lang w:eastAsia="zh-CN"/>
        </w:rPr>
        <w:t>、</w:t>
      </w:r>
      <w:r>
        <w:rPr>
          <w:rFonts w:hint="eastAsia" w:ascii="宋体" w:hAnsi="宋体"/>
          <w:color w:val="000000"/>
          <w:szCs w:val="21"/>
        </w:rPr>
        <w:t>杂质、焦点≤0.8ｍｍ；</w:t>
      </w:r>
    </w:p>
    <w:p>
      <w:pPr>
        <w:spacing w:line="360" w:lineRule="auto"/>
        <w:ind w:firstLine="315" w:firstLineChars="150"/>
        <w:rPr>
          <w:rFonts w:hint="eastAsia" w:ascii="宋体" w:hAnsi="宋体"/>
          <w:color w:val="000000"/>
          <w:szCs w:val="21"/>
        </w:rPr>
      </w:pPr>
      <w:r>
        <w:rPr>
          <w:rFonts w:hint="eastAsia" w:ascii="宋体" w:hAnsi="宋体"/>
          <w:color w:val="000000"/>
          <w:szCs w:val="21"/>
        </w:rPr>
        <w:t>4</w:t>
      </w:r>
      <w:r>
        <w:rPr>
          <w:rFonts w:hint="eastAsia" w:ascii="宋体" w:hAnsi="宋体"/>
          <w:color w:val="000000"/>
          <w:szCs w:val="21"/>
          <w:lang w:eastAsia="zh-CN"/>
        </w:rPr>
        <w:t>、</w:t>
      </w:r>
      <w:r>
        <w:rPr>
          <w:rFonts w:hint="eastAsia" w:ascii="宋体" w:hAnsi="宋体"/>
          <w:color w:val="000000"/>
          <w:szCs w:val="21"/>
        </w:rPr>
        <w:t>鱼眼、僵块&lt; 2ｍｍ；</w:t>
      </w:r>
    </w:p>
    <w:p>
      <w:pPr>
        <w:spacing w:line="360" w:lineRule="auto"/>
        <w:ind w:firstLine="315" w:firstLineChars="150"/>
        <w:rPr>
          <w:rFonts w:hint="eastAsia" w:ascii="宋体" w:hAnsi="宋体"/>
          <w:color w:val="000000"/>
          <w:szCs w:val="21"/>
        </w:rPr>
      </w:pPr>
      <w:r>
        <w:rPr>
          <w:rFonts w:hint="eastAsia" w:ascii="宋体" w:hAnsi="宋体"/>
          <w:color w:val="000000"/>
          <w:szCs w:val="21"/>
        </w:rPr>
        <w:t>5</w:t>
      </w:r>
      <w:r>
        <w:rPr>
          <w:rFonts w:hint="eastAsia" w:ascii="宋体" w:hAnsi="宋体"/>
          <w:color w:val="000000"/>
          <w:szCs w:val="21"/>
          <w:lang w:eastAsia="zh-CN"/>
        </w:rPr>
        <w:t>、</w:t>
      </w:r>
      <w:r>
        <w:rPr>
          <w:rFonts w:hint="eastAsia" w:ascii="宋体" w:hAnsi="宋体"/>
          <w:color w:val="000000"/>
          <w:szCs w:val="21"/>
        </w:rPr>
        <w:t>开口性：易于揭开；</w:t>
      </w:r>
    </w:p>
    <w:p>
      <w:pPr>
        <w:spacing w:line="360" w:lineRule="auto"/>
        <w:ind w:firstLine="315" w:firstLineChars="150"/>
        <w:rPr>
          <w:rFonts w:hint="eastAsia" w:ascii="宋体" w:hAnsi="宋体"/>
          <w:color w:val="000000"/>
          <w:szCs w:val="21"/>
        </w:rPr>
      </w:pPr>
      <w:r>
        <w:rPr>
          <w:rFonts w:hint="eastAsia" w:ascii="宋体" w:hAnsi="宋体"/>
          <w:color w:val="000000"/>
          <w:szCs w:val="21"/>
        </w:rPr>
        <w:t>6</w:t>
      </w:r>
      <w:r>
        <w:rPr>
          <w:rFonts w:hint="eastAsia" w:ascii="宋体" w:hAnsi="宋体"/>
          <w:color w:val="000000"/>
          <w:szCs w:val="21"/>
          <w:lang w:eastAsia="zh-CN"/>
        </w:rPr>
        <w:t>、</w:t>
      </w:r>
      <w:r>
        <w:rPr>
          <w:rFonts w:hint="eastAsia" w:ascii="宋体" w:hAnsi="宋体"/>
          <w:color w:val="000000"/>
          <w:szCs w:val="21"/>
        </w:rPr>
        <w:t>平整度：不允许打折、起皱、严重波浪形、明显暴筋；</w:t>
      </w:r>
    </w:p>
    <w:p>
      <w:pPr>
        <w:spacing w:line="360" w:lineRule="auto"/>
        <w:ind w:firstLine="105" w:firstLineChars="50"/>
        <w:rPr>
          <w:rFonts w:hint="eastAsia" w:ascii="宋体" w:hAnsi="宋体"/>
          <w:color w:val="000000"/>
          <w:szCs w:val="21"/>
        </w:rPr>
      </w:pPr>
      <w:r>
        <w:rPr>
          <w:rFonts w:hint="eastAsia" w:ascii="宋体" w:hAnsi="宋体"/>
          <w:color w:val="000000"/>
          <w:szCs w:val="21"/>
        </w:rPr>
        <w:t>★7</w:t>
      </w:r>
      <w:r>
        <w:rPr>
          <w:rFonts w:hint="eastAsia" w:ascii="宋体" w:hAnsi="宋体"/>
          <w:color w:val="000000"/>
          <w:szCs w:val="21"/>
          <w:lang w:eastAsia="zh-CN"/>
        </w:rPr>
        <w:t>、</w:t>
      </w:r>
      <w:r>
        <w:rPr>
          <w:rFonts w:hint="eastAsia" w:ascii="宋体" w:hAnsi="宋体"/>
          <w:color w:val="000000"/>
          <w:szCs w:val="21"/>
        </w:rPr>
        <w:t>拉伸强度（纵/横）≥11 Mpa；</w:t>
      </w:r>
    </w:p>
    <w:p>
      <w:pPr>
        <w:spacing w:line="360" w:lineRule="auto"/>
        <w:ind w:firstLine="315" w:firstLineChars="150"/>
        <w:rPr>
          <w:rFonts w:hint="eastAsia" w:ascii="宋体" w:hAnsi="宋体"/>
          <w:color w:val="000000"/>
          <w:szCs w:val="21"/>
        </w:rPr>
      </w:pPr>
      <w:r>
        <w:rPr>
          <w:rFonts w:hint="eastAsia" w:ascii="宋体" w:hAnsi="宋体"/>
          <w:color w:val="000000"/>
          <w:szCs w:val="21"/>
        </w:rPr>
        <w:t>8</w:t>
      </w:r>
      <w:r>
        <w:rPr>
          <w:rFonts w:hint="eastAsia" w:ascii="宋体" w:hAnsi="宋体"/>
          <w:color w:val="000000"/>
          <w:szCs w:val="21"/>
          <w:lang w:eastAsia="zh-CN"/>
        </w:rPr>
        <w:t>、</w:t>
      </w:r>
      <w:r>
        <w:rPr>
          <w:rFonts w:hint="eastAsia" w:ascii="宋体" w:hAnsi="宋体"/>
          <w:color w:val="000000"/>
          <w:szCs w:val="21"/>
        </w:rPr>
        <w:t>断裂伸长率（纵/横）：当厚度&lt;0.05ｍｍ，断裂伸长率（纵/横）≥180%；当厚度&gt;0.05ｍｍ，断裂伸长率（纵/横）≥230%。</w:t>
      </w:r>
    </w:p>
    <w:p>
      <w:pPr>
        <w:spacing w:line="360" w:lineRule="auto"/>
        <w:ind w:firstLine="315" w:firstLineChars="150"/>
        <w:rPr>
          <w:rFonts w:hint="eastAsia" w:ascii="宋体" w:hAnsi="宋体"/>
          <w:color w:val="000000"/>
          <w:szCs w:val="21"/>
        </w:rPr>
      </w:pPr>
      <w:r>
        <w:rPr>
          <w:rFonts w:hint="eastAsia" w:ascii="宋体" w:hAnsi="宋体"/>
          <w:color w:val="000000"/>
          <w:szCs w:val="21"/>
        </w:rPr>
        <w:t>9</w:t>
      </w:r>
      <w:r>
        <w:rPr>
          <w:rFonts w:hint="eastAsia" w:ascii="宋体" w:hAnsi="宋体"/>
          <w:color w:val="000000"/>
          <w:szCs w:val="21"/>
          <w:lang w:eastAsia="zh-CN"/>
        </w:rPr>
        <w:t>、</w:t>
      </w:r>
      <w:r>
        <w:rPr>
          <w:rFonts w:hint="eastAsia" w:ascii="宋体" w:hAnsi="宋体"/>
          <w:color w:val="000000"/>
          <w:szCs w:val="21"/>
        </w:rPr>
        <w:t>直角撕裂强度（纵/横）：当厚度&lt;0.05ｍｍ，直角撕裂强度（纵/横）≥40N/cm；当厚度&gt;0.05ｍｍ，直角撕裂强度（纵/横）≥50N/cm。</w:t>
      </w:r>
    </w:p>
    <w:p>
      <w:pPr>
        <w:spacing w:line="360" w:lineRule="auto"/>
        <w:ind w:firstLine="315" w:firstLineChars="150"/>
        <w:rPr>
          <w:rFonts w:hint="eastAsia" w:ascii="宋体" w:hAnsi="宋体"/>
          <w:color w:val="000000"/>
          <w:szCs w:val="21"/>
        </w:rPr>
      </w:pPr>
      <w:r>
        <w:rPr>
          <w:rFonts w:hint="eastAsia" w:ascii="宋体" w:hAnsi="宋体"/>
          <w:color w:val="000000"/>
          <w:szCs w:val="21"/>
        </w:rPr>
        <w:t>10</w:t>
      </w:r>
      <w:r>
        <w:rPr>
          <w:rFonts w:hint="eastAsia" w:ascii="宋体" w:hAnsi="宋体"/>
          <w:color w:val="000000"/>
          <w:szCs w:val="21"/>
          <w:lang w:eastAsia="zh-CN"/>
        </w:rPr>
        <w:t>、</w:t>
      </w:r>
      <w:r>
        <w:rPr>
          <w:rFonts w:hint="eastAsia" w:ascii="宋体" w:hAnsi="宋体"/>
          <w:color w:val="000000"/>
          <w:szCs w:val="21"/>
        </w:rPr>
        <w:t>当厚度&lt;0.05ｍｍ，焊口拉力≥9N/15ｍｍ；当厚度&gt;0.05ｍｍ，焊口拉力≥9N/15ｍｍ。</w:t>
      </w:r>
    </w:p>
    <w:p>
      <w:pPr>
        <w:spacing w:line="360" w:lineRule="auto"/>
        <w:ind w:firstLine="315" w:firstLineChars="150"/>
        <w:rPr>
          <w:rFonts w:hint="eastAsia"/>
          <w:highlight w:val="none"/>
        </w:rPr>
      </w:pPr>
      <w:r>
        <w:rPr>
          <w:rFonts w:hint="eastAsia" w:ascii="宋体" w:hAnsi="宋体"/>
          <w:color w:val="000000"/>
          <w:szCs w:val="21"/>
        </w:rPr>
        <w:t>11</w:t>
      </w:r>
      <w:r>
        <w:rPr>
          <w:rFonts w:hint="eastAsia" w:ascii="宋体" w:hAnsi="宋体"/>
          <w:color w:val="000000"/>
          <w:szCs w:val="21"/>
          <w:lang w:eastAsia="zh-CN"/>
        </w:rPr>
        <w:t>、</w:t>
      </w:r>
      <w:r>
        <w:rPr>
          <w:rFonts w:hint="eastAsia" w:ascii="宋体" w:hAnsi="宋体"/>
          <w:color w:val="000000"/>
          <w:szCs w:val="21"/>
        </w:rPr>
        <w:t>提供第三方检测部门出具的检测报告，检测报告的内容应包含上述质量要求。</w:t>
      </w:r>
      <w:r>
        <w:rPr>
          <w:rFonts w:hint="eastAsia" w:ascii="宋体" w:hAnsi="宋体"/>
          <w:color w:val="000000"/>
          <w:szCs w:val="21"/>
          <w:highlight w:val="none"/>
        </w:rPr>
        <w:t>（响应文件中提供检测报告复印件并加盖公章，于响应文件递交截止时间前提供原件备查）</w:t>
      </w:r>
    </w:p>
    <w:p>
      <w:pPr>
        <w:spacing w:line="360" w:lineRule="auto"/>
        <w:ind w:firstLine="413" w:firstLineChars="196"/>
        <w:outlineLvl w:val="1"/>
        <w:rPr>
          <w:rFonts w:ascii="宋体" w:hAnsi="宋体" w:cs="宋体"/>
          <w:b/>
          <w:szCs w:val="21"/>
          <w:highlight w:val="none"/>
        </w:rPr>
      </w:pPr>
      <w:r>
        <w:rPr>
          <w:rFonts w:hint="eastAsia" w:ascii="宋体" w:hAnsi="宋体" w:cs="宋体"/>
          <w:b/>
          <w:szCs w:val="21"/>
          <w:highlight w:val="none"/>
          <w:lang w:val="en-US" w:eastAsia="zh-CN"/>
        </w:rPr>
        <w:t xml:space="preserve">（四） </w:t>
      </w:r>
      <w:r>
        <w:rPr>
          <w:rFonts w:hint="eastAsia" w:ascii="宋体" w:hAnsi="宋体" w:cs="宋体"/>
          <w:b/>
          <w:szCs w:val="21"/>
          <w:highlight w:val="none"/>
        </w:rPr>
        <w:t>投标报价要求</w:t>
      </w:r>
    </w:p>
    <w:p>
      <w:pPr>
        <w:autoSpaceDE/>
        <w:snapToGrid w:val="0"/>
        <w:spacing w:line="360" w:lineRule="auto"/>
        <w:ind w:firstLine="420" w:firstLineChars="200"/>
        <w:jc w:val="both"/>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val="en-US" w:eastAsia="zh-CN"/>
        </w:rPr>
        <w:t xml:space="preserve">1、 </w:t>
      </w:r>
      <w:r>
        <w:rPr>
          <w:rFonts w:hint="eastAsia" w:ascii="宋体" w:hAnsi="宋体" w:cs="宋体"/>
          <w:bCs/>
          <w:sz w:val="21"/>
          <w:szCs w:val="21"/>
        </w:rPr>
        <w:t>报价人的最终响应报价为交货价。交货价即是合同期间的最终单价，在合同期内，单价不再随着市场同类商品市场价格的调整而进行调整。</w:t>
      </w:r>
    </w:p>
    <w:p>
      <w:pPr>
        <w:autoSpaceDE/>
        <w:snapToGrid w:val="0"/>
        <w:spacing w:line="360" w:lineRule="auto"/>
        <w:ind w:firstLine="630" w:firstLineChars="300"/>
        <w:jc w:val="both"/>
        <w:rPr>
          <w:rFonts w:ascii="宋体" w:hAnsi="宋体" w:cs="宋体"/>
          <w:bCs/>
          <w:sz w:val="21"/>
          <w:szCs w:val="21"/>
        </w:rPr>
      </w:pPr>
      <w:r>
        <w:rPr>
          <w:rFonts w:hint="eastAsia" w:ascii="宋体" w:hAnsi="宋体" w:cs="宋体"/>
          <w:bCs/>
          <w:sz w:val="21"/>
          <w:szCs w:val="21"/>
          <w:lang w:val="en-US" w:eastAsia="zh-CN"/>
        </w:rPr>
        <w:t>2、</w:t>
      </w:r>
      <w:r>
        <w:rPr>
          <w:rFonts w:hint="eastAsia" w:ascii="宋体" w:hAnsi="宋体" w:cs="宋体"/>
          <w:bCs/>
          <w:sz w:val="21"/>
          <w:szCs w:val="21"/>
        </w:rPr>
        <w:t>本次响应报价应为人民币含税全包价，包括</w:t>
      </w:r>
      <w:r>
        <w:rPr>
          <w:rFonts w:hint="eastAsia" w:ascii="宋体" w:hAnsi="宋体" w:cs="宋体"/>
          <w:bCs/>
          <w:sz w:val="21"/>
          <w:szCs w:val="21"/>
          <w:lang w:val="en-US" w:eastAsia="zh-CN"/>
        </w:rPr>
        <w:t>货物</w:t>
      </w:r>
      <w:r>
        <w:rPr>
          <w:rFonts w:hint="eastAsia" w:ascii="宋体" w:hAnsi="宋体" w:cs="宋体"/>
          <w:bCs/>
          <w:sz w:val="21"/>
          <w:szCs w:val="21"/>
        </w:rPr>
        <w:t>、包装费、</w:t>
      </w:r>
      <w:r>
        <w:rPr>
          <w:rFonts w:hint="eastAsia" w:ascii="宋体" w:hAnsi="宋体" w:cs="宋体"/>
          <w:bCs/>
          <w:sz w:val="21"/>
          <w:szCs w:val="21"/>
          <w:lang w:val="en-US" w:eastAsia="zh-CN"/>
        </w:rPr>
        <w:t>安装费、</w:t>
      </w:r>
      <w:r>
        <w:rPr>
          <w:rFonts w:hint="eastAsia" w:ascii="宋体" w:hAnsi="宋体" w:cs="宋体"/>
          <w:bCs/>
          <w:sz w:val="21"/>
          <w:szCs w:val="21"/>
        </w:rPr>
        <w:t>运杂费、保险费、卸车费、配合费、检测费、配送费、税金及</w:t>
      </w:r>
      <w:r>
        <w:rPr>
          <w:rFonts w:hint="eastAsia" w:ascii="宋体" w:hAnsi="宋体" w:cs="宋体"/>
          <w:bCs/>
          <w:sz w:val="21"/>
          <w:szCs w:val="21"/>
          <w:lang w:val="en-US" w:eastAsia="zh-CN"/>
        </w:rPr>
        <w:t>与本项目相关的</w:t>
      </w:r>
      <w:r>
        <w:rPr>
          <w:rFonts w:hint="eastAsia" w:ascii="宋体" w:hAnsi="宋体" w:cs="宋体"/>
          <w:bCs/>
          <w:sz w:val="21"/>
          <w:szCs w:val="21"/>
        </w:rPr>
        <w:t>其他费用。</w:t>
      </w:r>
    </w:p>
    <w:p>
      <w:pPr>
        <w:autoSpaceDE/>
        <w:snapToGrid w:val="0"/>
        <w:spacing w:line="360" w:lineRule="auto"/>
        <w:ind w:firstLine="630" w:firstLineChars="300"/>
        <w:jc w:val="both"/>
        <w:rPr>
          <w:rFonts w:hint="eastAsia"/>
        </w:rPr>
      </w:pPr>
      <w:r>
        <w:rPr>
          <w:rFonts w:hint="eastAsia" w:ascii="宋体" w:hAnsi="宋体" w:cs="宋体"/>
          <w:bCs/>
          <w:sz w:val="21"/>
          <w:szCs w:val="21"/>
        </w:rPr>
        <w:t>3</w:t>
      </w:r>
      <w:r>
        <w:rPr>
          <w:rFonts w:hint="eastAsia" w:ascii="宋体" w:hAnsi="宋体" w:cs="宋体"/>
          <w:bCs/>
          <w:sz w:val="21"/>
          <w:szCs w:val="21"/>
          <w:lang w:eastAsia="zh-CN"/>
        </w:rPr>
        <w:t>、</w:t>
      </w:r>
      <w:r>
        <w:rPr>
          <w:rFonts w:hint="eastAsia" w:ascii="宋体" w:hAnsi="宋体" w:cs="宋体"/>
          <w:bCs/>
          <w:sz w:val="21"/>
          <w:szCs w:val="21"/>
        </w:rPr>
        <w:t>报价人报价不得高于单价的最高限价，总报价不得高于本项目采购预算价，</w:t>
      </w:r>
      <w:r>
        <w:rPr>
          <w:rFonts w:hint="eastAsia" w:ascii="宋体" w:hAnsi="宋体" w:cs="宋体"/>
          <w:bCs/>
          <w:sz w:val="21"/>
          <w:szCs w:val="21"/>
          <w:lang w:val="en-US" w:eastAsia="zh-CN"/>
        </w:rPr>
        <w:t>高于最高限价</w:t>
      </w:r>
      <w:r>
        <w:rPr>
          <w:rFonts w:hint="eastAsia" w:ascii="宋体" w:hAnsi="宋体" w:cs="宋体"/>
          <w:bCs/>
          <w:sz w:val="21"/>
          <w:szCs w:val="21"/>
        </w:rPr>
        <w:t>的报价为无效报价。</w:t>
      </w:r>
    </w:p>
    <w:p>
      <w:pPr>
        <w:spacing w:line="360" w:lineRule="auto"/>
        <w:ind w:firstLine="413" w:firstLineChars="196"/>
        <w:outlineLvl w:val="1"/>
        <w:rPr>
          <w:rFonts w:hint="eastAsia" w:ascii="宋体" w:hAnsi="宋体" w:cs="宋体"/>
          <w:b/>
          <w:szCs w:val="21"/>
          <w:highlight w:val="none"/>
          <w:lang w:val="en-US" w:eastAsia="zh-CN"/>
        </w:rPr>
      </w:pPr>
      <w:r>
        <w:rPr>
          <w:rFonts w:hint="eastAsia" w:ascii="宋体" w:hAnsi="宋体" w:cs="宋体"/>
          <w:b/>
          <w:szCs w:val="21"/>
          <w:highlight w:val="none"/>
          <w:lang w:val="en-US" w:eastAsia="zh-CN"/>
        </w:rPr>
        <w:t>（五）包装、装卸、运输及保险</w:t>
      </w:r>
    </w:p>
    <w:p>
      <w:pPr>
        <w:autoSpaceDE/>
        <w:snapToGrid w:val="0"/>
        <w:spacing w:line="360" w:lineRule="auto"/>
        <w:ind w:firstLine="420" w:firstLineChars="200"/>
        <w:jc w:val="both"/>
        <w:rPr>
          <w:rFonts w:ascii="宋体" w:hAnsi="宋体" w:cs="宋体"/>
          <w:bCs/>
          <w:sz w:val="21"/>
          <w:szCs w:val="21"/>
        </w:rPr>
      </w:pPr>
      <w:r>
        <w:rPr>
          <w:rFonts w:hint="eastAsia" w:ascii="宋体" w:hAnsi="宋体" w:cs="宋体"/>
          <w:bCs/>
          <w:sz w:val="21"/>
          <w:szCs w:val="21"/>
          <w:lang w:val="en-US" w:eastAsia="zh-CN"/>
        </w:rPr>
        <w:t>1、</w:t>
      </w:r>
      <w:r>
        <w:rPr>
          <w:rFonts w:hint="eastAsia" w:ascii="宋体" w:hAnsi="宋体" w:cs="宋体"/>
          <w:bCs/>
          <w:sz w:val="21"/>
          <w:szCs w:val="21"/>
        </w:rPr>
        <w:t>成交供应商所供货物包装质量必须符合国家相关标准，货物的包装均应有良好的防锈、防腐的措施，货物要求有包装保护运至现场。凡由于包装不良造成的损失和由此产生的费用均由成交供应商承担。</w:t>
      </w:r>
    </w:p>
    <w:p>
      <w:pPr>
        <w:autoSpaceDE/>
        <w:snapToGrid w:val="0"/>
        <w:spacing w:line="360" w:lineRule="auto"/>
        <w:ind w:firstLine="420" w:firstLineChars="200"/>
        <w:jc w:val="both"/>
        <w:rPr>
          <w:rFonts w:ascii="宋体" w:hAnsi="宋体" w:cs="宋体"/>
          <w:bCs/>
          <w:sz w:val="21"/>
          <w:szCs w:val="21"/>
        </w:rPr>
      </w:pPr>
      <w:r>
        <w:rPr>
          <w:rFonts w:hint="eastAsia" w:ascii="宋体" w:hAnsi="宋体" w:cs="宋体"/>
          <w:bCs/>
          <w:sz w:val="21"/>
          <w:szCs w:val="21"/>
        </w:rPr>
        <w:t>2</w:t>
      </w:r>
      <w:r>
        <w:rPr>
          <w:rFonts w:hint="eastAsia" w:ascii="宋体" w:hAnsi="宋体" w:cs="宋体"/>
          <w:bCs/>
          <w:sz w:val="21"/>
          <w:szCs w:val="21"/>
          <w:lang w:eastAsia="zh-CN"/>
        </w:rPr>
        <w:t>、</w:t>
      </w:r>
      <w:r>
        <w:rPr>
          <w:rFonts w:hint="eastAsia" w:ascii="宋体" w:hAnsi="宋体" w:cs="宋体"/>
          <w:bCs/>
          <w:sz w:val="21"/>
          <w:szCs w:val="21"/>
        </w:rPr>
        <w:t>成交供应商负责根据用户指定的地点，将货物送到现场过程中的全部运输，包括装卸车、货物现场的搬运，由此产生的费用均由成交供应商承担。</w:t>
      </w:r>
    </w:p>
    <w:p>
      <w:pPr>
        <w:autoSpaceDE/>
        <w:snapToGrid w:val="0"/>
        <w:spacing w:line="360" w:lineRule="auto"/>
        <w:ind w:firstLine="420" w:firstLineChars="200"/>
        <w:jc w:val="both"/>
        <w:rPr>
          <w:rFonts w:ascii="宋体" w:hAnsi="宋体" w:cs="宋体"/>
          <w:bCs/>
          <w:sz w:val="21"/>
          <w:szCs w:val="21"/>
        </w:rPr>
      </w:pPr>
      <w:r>
        <w:rPr>
          <w:rFonts w:hint="eastAsia" w:ascii="宋体" w:hAnsi="宋体" w:cs="宋体"/>
          <w:bCs/>
          <w:sz w:val="21"/>
          <w:szCs w:val="21"/>
        </w:rPr>
        <w:t>3</w:t>
      </w:r>
      <w:r>
        <w:rPr>
          <w:rFonts w:hint="eastAsia" w:ascii="宋体" w:hAnsi="宋体" w:cs="宋体"/>
          <w:bCs/>
          <w:sz w:val="21"/>
          <w:szCs w:val="21"/>
          <w:lang w:eastAsia="zh-CN"/>
        </w:rPr>
        <w:t>、</w:t>
      </w:r>
      <w:r>
        <w:rPr>
          <w:rFonts w:hint="eastAsia" w:ascii="宋体" w:hAnsi="宋体" w:cs="宋体"/>
          <w:bCs/>
          <w:sz w:val="21"/>
          <w:szCs w:val="21"/>
        </w:rPr>
        <w:t>如货物运输过程中因事故造成货物短缺、损坏，成交供应商应及时安排换货，以保证合同货物及时交付，换货的相关费用由成交供应商承担。</w:t>
      </w:r>
    </w:p>
    <w:p>
      <w:pPr>
        <w:autoSpaceDE/>
        <w:snapToGrid w:val="0"/>
        <w:spacing w:line="360" w:lineRule="auto"/>
        <w:ind w:firstLine="420" w:firstLineChars="200"/>
        <w:jc w:val="both"/>
      </w:pPr>
      <w:r>
        <w:rPr>
          <w:rFonts w:hint="eastAsia" w:ascii="宋体" w:hAnsi="宋体" w:cs="宋体"/>
          <w:bCs/>
          <w:sz w:val="21"/>
          <w:szCs w:val="21"/>
        </w:rPr>
        <w:t>4</w:t>
      </w:r>
      <w:r>
        <w:rPr>
          <w:rFonts w:hint="eastAsia" w:ascii="宋体" w:hAnsi="宋体" w:cs="宋体"/>
          <w:bCs/>
          <w:sz w:val="21"/>
          <w:szCs w:val="21"/>
          <w:lang w:eastAsia="zh-CN"/>
        </w:rPr>
        <w:t>、</w:t>
      </w:r>
      <w:r>
        <w:rPr>
          <w:rFonts w:hint="eastAsia" w:ascii="宋体" w:hAnsi="宋体" w:cs="宋体"/>
          <w:bCs/>
          <w:sz w:val="21"/>
          <w:szCs w:val="21"/>
        </w:rPr>
        <w:t>货物的质量保险由成交供应商负责，成交供应商负责其派出的现场服务人员人身意外保险。</w:t>
      </w:r>
    </w:p>
    <w:p>
      <w:pPr>
        <w:pStyle w:val="9"/>
        <w:numPr>
          <w:ilvl w:val="0"/>
          <w:numId w:val="0"/>
        </w:numPr>
        <w:spacing w:line="360" w:lineRule="auto"/>
        <w:ind w:left="413" w:leftChars="0"/>
        <w:outlineLvl w:val="1"/>
        <w:rPr>
          <w:rFonts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六</w:t>
      </w:r>
      <w:r>
        <w:rPr>
          <w:rFonts w:hint="eastAsia" w:ascii="宋体" w:hAnsi="宋体" w:cs="宋体"/>
          <w:b/>
          <w:szCs w:val="21"/>
          <w:lang w:eastAsia="zh-CN"/>
        </w:rPr>
        <w:t>）</w:t>
      </w:r>
      <w:r>
        <w:rPr>
          <w:rFonts w:hint="eastAsia" w:ascii="宋体" w:hAnsi="宋体" w:cs="宋体"/>
          <w:b/>
          <w:szCs w:val="21"/>
        </w:rPr>
        <w:t>验收方式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1、 成交供应商将货物送货至采购人指定地点后，由采购人按照采购合同、相关询价文件、响应文件要求进行核对，根据国家相关法律法规、质量标准，对货物的规格参数和质量进行验收。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2、货物在验收过程中发现所交付的货物有短缺、次品、损坏或其他不符合询价文件、合同规定之情形者，采购人有权拒付该批货物的费用，并由成交供应商承担由此发生的一切费用和损失。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1" w:firstLineChars="100"/>
        <w:textAlignment w:val="auto"/>
        <w:rPr>
          <w:rFonts w:hint="eastAsia" w:ascii="宋体" w:hAnsi="宋体"/>
          <w:szCs w:val="21"/>
          <w:lang w:val="en-US" w:eastAsia="zh-CN"/>
        </w:rPr>
      </w:pPr>
      <w:r>
        <w:rPr>
          <w:rFonts w:hint="eastAsia" w:asciiTheme="minorEastAsia" w:hAnsiTheme="minorEastAsia"/>
          <w:b/>
          <w:bCs/>
          <w:color w:val="auto"/>
          <w:sz w:val="24"/>
          <w:szCs w:val="24"/>
          <w:highlight w:val="none"/>
        </w:rPr>
        <w:t>★</w:t>
      </w:r>
      <w:r>
        <w:rPr>
          <w:rFonts w:hint="eastAsia" w:ascii="宋体" w:hAnsi="宋体"/>
          <w:szCs w:val="21"/>
          <w:highlight w:val="none"/>
          <w:lang w:val="en-US" w:eastAsia="zh-CN"/>
        </w:rPr>
        <w:t>3、所有货物在使用过程中发现以次充好或使用假冒伪劣产品的，成交供应商须无条件更换货物。此种情况超过2次或以上的，</w:t>
      </w:r>
      <w:r>
        <w:rPr>
          <w:rFonts w:hint="eastAsia" w:ascii="宋体" w:hAnsi="宋体"/>
          <w:szCs w:val="21"/>
          <w:lang w:val="en-US" w:eastAsia="zh-CN"/>
        </w:rPr>
        <w:t>履约保证金不予以退还，采购人有权单方终止合同。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4、因质量问题发生争议时，由地级市或以上的质检部门进行相关鉴定，鉴定费用由成交供应商先行垫付，鉴定结果符合质量技术要求，发生的所有鉴定费由采购人承担；鉴定结果不符合质量技术要求，发生的所有鉴定费由成交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5、成交供应商保证因执行本项目向采购人提供的所有货物、材料、工序工艺等产品不侵犯第三方知识产权、商业秘密等权利。若发生侵犯第三方权利的情况,成交供应商应负责与第三方交涉, 并承担由此而产生的一切法律责任,采购人不承担与之相关的任何经济和法律责任。 如采购人因此而遭受损失，成交供应商应承担全部的赔偿责任。</w:t>
      </w:r>
    </w:p>
    <w:p>
      <w:pPr>
        <w:spacing w:line="360" w:lineRule="auto"/>
        <w:ind w:firstLine="422" w:firstLineChars="200"/>
        <w:outlineLvl w:val="1"/>
        <w:rPr>
          <w:rFonts w:hint="eastAsia" w:ascii="宋体" w:hAnsi="宋体" w:cs="宋体"/>
          <w:b/>
          <w:szCs w:val="21"/>
          <w:highlight w:val="none"/>
          <w:lang w:val="en-US" w:eastAsia="zh-CN"/>
        </w:rPr>
      </w:pPr>
      <w:r>
        <w:rPr>
          <w:rFonts w:hint="eastAsia" w:ascii="宋体" w:hAnsi="宋体" w:cs="宋体"/>
          <w:b/>
          <w:szCs w:val="21"/>
          <w:highlight w:val="none"/>
          <w:lang w:val="en-US" w:eastAsia="zh-CN"/>
        </w:rPr>
        <w:t>（七）售后服务要求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宋体" w:hAnsi="宋体"/>
          <w:szCs w:val="21"/>
          <w:lang w:val="en-US" w:eastAsia="zh-CN"/>
        </w:rPr>
      </w:pPr>
      <w:r>
        <w:rPr>
          <w:rFonts w:hint="eastAsia" w:ascii="宋体" w:hAnsi="宋体"/>
          <w:szCs w:val="21"/>
          <w:lang w:val="en-US" w:eastAsia="zh-CN"/>
        </w:rPr>
        <w:t xml:space="preserve">★1. </w:t>
      </w:r>
      <w:r>
        <w:rPr>
          <w:rFonts w:hint="eastAsia" w:ascii="宋体" w:hAnsi="宋体" w:cs="宋体"/>
          <w:bCs/>
          <w:sz w:val="21"/>
          <w:szCs w:val="21"/>
        </w:rPr>
        <w:t>成交供应商</w:t>
      </w:r>
      <w:r>
        <w:rPr>
          <w:rFonts w:hint="eastAsia" w:ascii="宋体" w:hAnsi="宋体"/>
          <w:szCs w:val="21"/>
          <w:lang w:val="en-US" w:eastAsia="zh-CN"/>
        </w:rPr>
        <w:t>所提供的货物是原厂生产或该品牌授权生产的全新正品，其质量、规格满足用户需求，具备出厂合格证且无任何的侵权行为，且必须符合国家行业生产及经营标准，货真价实，各项技术指标完全符合国家有关质量检测、产品出厂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宋体" w:hAnsi="宋体"/>
          <w:szCs w:val="21"/>
          <w:lang w:val="en-US" w:eastAsia="zh-CN"/>
        </w:rPr>
      </w:pPr>
      <w:r>
        <w:rPr>
          <w:rFonts w:hint="eastAsia" w:ascii="宋体" w:hAnsi="宋体"/>
          <w:szCs w:val="21"/>
          <w:lang w:val="en-US" w:eastAsia="zh-CN"/>
        </w:rPr>
        <w:t>★2．质保期为当次所送货物质保期为验收合格之日起壹年，质保期内中标供应商须提供质量“三包”服务，质保期内因货物质量问题而引发的费用全部由</w:t>
      </w:r>
      <w:r>
        <w:rPr>
          <w:rFonts w:hint="eastAsia" w:ascii="宋体" w:hAnsi="宋体" w:cs="宋体"/>
          <w:bCs/>
          <w:sz w:val="21"/>
          <w:szCs w:val="21"/>
        </w:rPr>
        <w:t>成交</w:t>
      </w:r>
      <w:r>
        <w:rPr>
          <w:rFonts w:hint="eastAsia" w:ascii="宋体" w:hAnsi="宋体"/>
          <w:szCs w:val="21"/>
          <w:lang w:val="en-US" w:eastAsia="zh-CN"/>
        </w:rPr>
        <w:t>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3．质保期内，</w:t>
      </w:r>
      <w:r>
        <w:rPr>
          <w:rFonts w:hint="eastAsia" w:ascii="宋体" w:hAnsi="宋体" w:cs="宋体"/>
          <w:bCs/>
          <w:sz w:val="21"/>
          <w:szCs w:val="21"/>
        </w:rPr>
        <w:t>成交供应商</w:t>
      </w:r>
      <w:r>
        <w:rPr>
          <w:rFonts w:hint="eastAsia" w:ascii="宋体" w:hAnsi="宋体"/>
          <w:szCs w:val="21"/>
          <w:lang w:val="en-US" w:eastAsia="zh-CN"/>
        </w:rPr>
        <w:t>提供24小时响应服务，到达现场时间为2小时内，解决问题的时限为到达现场后4小时内。若在到场4小时后仍未能有效解决，</w:t>
      </w:r>
      <w:r>
        <w:rPr>
          <w:rFonts w:hint="eastAsia" w:ascii="宋体" w:hAnsi="宋体" w:cs="宋体"/>
          <w:bCs/>
          <w:sz w:val="21"/>
          <w:szCs w:val="21"/>
        </w:rPr>
        <w:t>成交供应商</w:t>
      </w:r>
      <w:r>
        <w:rPr>
          <w:rFonts w:hint="eastAsia" w:ascii="宋体" w:hAnsi="宋体" w:cs="宋体"/>
          <w:bCs/>
          <w:sz w:val="21"/>
          <w:szCs w:val="21"/>
          <w:lang w:val="en-US" w:eastAsia="zh-CN"/>
        </w:rPr>
        <w:t>向采购人说明原因并经采购人同意后</w:t>
      </w:r>
      <w:r>
        <w:rPr>
          <w:rFonts w:hint="eastAsia" w:ascii="宋体" w:hAnsi="宋体"/>
          <w:szCs w:val="21"/>
          <w:lang w:val="en-US" w:eastAsia="zh-CN"/>
        </w:rPr>
        <w:t>提供等同或优于原参数的产品供采购人使用。如因此造成采购人损失的，由</w:t>
      </w:r>
      <w:r>
        <w:rPr>
          <w:rFonts w:hint="eastAsia" w:ascii="宋体" w:hAnsi="宋体" w:cs="宋体"/>
          <w:bCs/>
          <w:sz w:val="21"/>
          <w:szCs w:val="21"/>
        </w:rPr>
        <w:t>成交供应商</w:t>
      </w:r>
      <w:r>
        <w:rPr>
          <w:rFonts w:hint="eastAsia" w:ascii="宋体" w:hAnsi="宋体"/>
          <w:szCs w:val="21"/>
          <w:lang w:val="en-US" w:eastAsia="zh-CN"/>
        </w:rPr>
        <w:t>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2" w:firstLineChars="200"/>
        <w:textAlignment w:val="auto"/>
        <w:rPr>
          <w:rFonts w:ascii="宋体" w:hAnsi="宋体" w:cs="宋体"/>
          <w:b/>
          <w:szCs w:val="21"/>
        </w:rPr>
      </w:pPr>
      <w:r>
        <w:rPr>
          <w:rFonts w:hint="eastAsia" w:ascii="宋体" w:hAnsi="宋体"/>
          <w:b/>
          <w:bCs/>
          <w:szCs w:val="21"/>
          <w:lang w:val="en-US" w:eastAsia="zh-CN"/>
        </w:rPr>
        <w:t>（八）</w:t>
      </w:r>
      <w:r>
        <w:rPr>
          <w:rFonts w:hint="eastAsia" w:ascii="宋体" w:hAnsi="宋体" w:cs="宋体"/>
          <w:b/>
          <w:szCs w:val="21"/>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1" w:firstLineChars="100"/>
        <w:textAlignment w:val="auto"/>
        <w:rPr>
          <w:rFonts w:hint="eastAsia" w:ascii="宋体" w:hAnsi="宋体" w:cs="Times New Roman"/>
          <w:szCs w:val="21"/>
          <w:highlight w:val="none"/>
          <w:lang w:val="en-US" w:eastAsia="zh-CN"/>
        </w:rPr>
      </w:pPr>
      <w:r>
        <w:rPr>
          <w:rFonts w:hint="eastAsia" w:asciiTheme="minorEastAsia" w:hAnsiTheme="minorEastAsia"/>
          <w:b/>
          <w:bCs/>
          <w:color w:val="auto"/>
          <w:sz w:val="24"/>
          <w:szCs w:val="24"/>
          <w:highlight w:val="none"/>
        </w:rPr>
        <w:t>★</w:t>
      </w:r>
      <w:r>
        <w:rPr>
          <w:rFonts w:hint="eastAsia" w:ascii="宋体" w:hAnsi="宋体"/>
          <w:szCs w:val="21"/>
          <w:lang w:val="en-US" w:eastAsia="zh-CN"/>
        </w:rPr>
        <w:t xml:space="preserve">1、 </w:t>
      </w:r>
      <w:r>
        <w:rPr>
          <w:rFonts w:hint="eastAsia" w:ascii="宋体" w:hAnsi="宋体" w:cs="Times New Roman"/>
          <w:szCs w:val="21"/>
          <w:highlight w:val="none"/>
          <w:lang w:val="en-US" w:eastAsia="zh-CN"/>
        </w:rPr>
        <w:t>成交供应商与采购人签订合同后5个工作日内需向采购人（甲方）交合同总金额的5%作为履约保证金。履约保证金的退还为最后一批送货验收合格后一个月内一次性退还。如有违约事项，采购人根据约定条款扣款，剩余款项予以无息退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2、合同签订后，供货期内采购人可按照实际使用需要分批次要求成交供应商供货。合同无预付款，每批次订货无预付款。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3、按批次结算。成交供应商接到采购人的下单通知后，按采购人要求的品种及数量提供货物，经双方确认验收合格后，成交供应商开具该批次所供货物的有效全额普通发票（含税），采购人在收到发票并审核无误后一个月内付款给成交供应商。</w:t>
      </w:r>
    </w:p>
    <w:p>
      <w:pPr>
        <w:rPr>
          <w:rFonts w:hint="eastAsia" w:ascii="宋体" w:hAnsi="宋体"/>
          <w:szCs w:val="21"/>
          <w:lang w:val="en-US" w:eastAsia="zh-CN"/>
        </w:rPr>
      </w:pPr>
      <w:r>
        <w:rPr>
          <w:rFonts w:hint="eastAsia" w:ascii="宋体" w:hAnsi="宋体"/>
          <w:szCs w:val="21"/>
          <w:lang w:val="en-US" w:eastAsia="zh-CN"/>
        </w:rPr>
        <w:t>4、成交供应商须开具与响应文件中报价人名称、响应报价一致的普通发票。</w:t>
      </w:r>
    </w:p>
    <w:p>
      <w:pPr>
        <w:pStyle w:val="5"/>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 w:val="24"/>
          <w:szCs w:val="20"/>
          <w:lang w:val="en-US" w:eastAsia="zh-CN"/>
        </w:rPr>
      </w:pPr>
      <w:r>
        <w:rPr>
          <w:rFonts w:hint="eastAsia" w:ascii="宋体" w:hAnsi="宋体"/>
          <w:sz w:val="24"/>
          <w:szCs w:val="20"/>
          <w:lang w:val="en-US" w:eastAsia="zh-CN"/>
        </w:rPr>
        <w:t>重要参数响应表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17"/>
        <w:gridCol w:w="1438"/>
        <w:gridCol w:w="1905"/>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7"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序号</w:t>
            </w:r>
          </w:p>
        </w:tc>
        <w:tc>
          <w:tcPr>
            <w:tcW w:w="1438"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需求参数</w:t>
            </w:r>
          </w:p>
        </w:tc>
        <w:tc>
          <w:tcPr>
            <w:tcW w:w="1905"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响应实际参数</w:t>
            </w:r>
          </w:p>
        </w:tc>
        <w:tc>
          <w:tcPr>
            <w:tcW w:w="1420"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是否偏离</w:t>
            </w:r>
          </w:p>
        </w:tc>
        <w:tc>
          <w:tcPr>
            <w:tcW w:w="1421"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偏离简述</w:t>
            </w:r>
          </w:p>
        </w:tc>
        <w:tc>
          <w:tcPr>
            <w:tcW w:w="1421"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7" w:type="dxa"/>
          </w:tcPr>
          <w:p>
            <w:pPr>
              <w:pStyle w:val="5"/>
              <w:rPr>
                <w:rFonts w:hint="eastAsia" w:ascii="宋体" w:hAnsi="宋体"/>
                <w:szCs w:val="21"/>
                <w:vertAlign w:val="baseline"/>
                <w:lang w:val="en-US" w:eastAsia="zh-CN"/>
              </w:rPr>
            </w:pPr>
            <w:bookmarkStart w:id="0" w:name="_GoBack"/>
            <w:bookmarkEnd w:id="0"/>
          </w:p>
        </w:tc>
        <w:tc>
          <w:tcPr>
            <w:tcW w:w="1438" w:type="dxa"/>
          </w:tcPr>
          <w:p>
            <w:pPr>
              <w:pStyle w:val="5"/>
              <w:rPr>
                <w:rFonts w:hint="eastAsia" w:ascii="宋体" w:hAnsi="宋体"/>
                <w:szCs w:val="21"/>
                <w:vertAlign w:val="baseline"/>
                <w:lang w:val="en-US" w:eastAsia="zh-CN"/>
              </w:rPr>
            </w:pPr>
          </w:p>
        </w:tc>
        <w:tc>
          <w:tcPr>
            <w:tcW w:w="1905" w:type="dxa"/>
          </w:tcPr>
          <w:p>
            <w:pPr>
              <w:pStyle w:val="5"/>
              <w:rPr>
                <w:rFonts w:hint="eastAsia" w:ascii="宋体" w:hAnsi="宋体"/>
                <w:szCs w:val="21"/>
                <w:vertAlign w:val="baseline"/>
                <w:lang w:val="en-US" w:eastAsia="zh-CN"/>
              </w:rPr>
            </w:pPr>
          </w:p>
        </w:tc>
        <w:tc>
          <w:tcPr>
            <w:tcW w:w="1420" w:type="dxa"/>
          </w:tcPr>
          <w:p>
            <w:pPr>
              <w:pStyle w:val="5"/>
              <w:rPr>
                <w:rFonts w:hint="eastAsia" w:ascii="宋体" w:hAnsi="宋体"/>
                <w:szCs w:val="21"/>
                <w:vertAlign w:val="baseline"/>
                <w:lang w:val="en-US" w:eastAsia="zh-CN"/>
              </w:rPr>
            </w:pPr>
          </w:p>
        </w:tc>
        <w:tc>
          <w:tcPr>
            <w:tcW w:w="1421" w:type="dxa"/>
          </w:tcPr>
          <w:p>
            <w:pPr>
              <w:pStyle w:val="5"/>
              <w:rPr>
                <w:rFonts w:hint="eastAsia" w:ascii="宋体" w:hAnsi="宋体"/>
                <w:szCs w:val="21"/>
                <w:vertAlign w:val="baseline"/>
                <w:lang w:val="en-US" w:eastAsia="zh-CN"/>
              </w:rPr>
            </w:pPr>
          </w:p>
        </w:tc>
        <w:tc>
          <w:tcPr>
            <w:tcW w:w="1421" w:type="dxa"/>
          </w:tcPr>
          <w:p>
            <w:pPr>
              <w:pStyle w:val="5"/>
              <w:rPr>
                <w:rFonts w:hint="eastAsia"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 w:type="dxa"/>
          </w:tcPr>
          <w:p>
            <w:pPr>
              <w:pStyle w:val="5"/>
              <w:rPr>
                <w:rFonts w:hint="eastAsia" w:ascii="宋体" w:hAnsi="宋体"/>
                <w:szCs w:val="21"/>
                <w:vertAlign w:val="baseline"/>
                <w:lang w:val="en-US" w:eastAsia="zh-CN"/>
              </w:rPr>
            </w:pPr>
          </w:p>
        </w:tc>
        <w:tc>
          <w:tcPr>
            <w:tcW w:w="1438" w:type="dxa"/>
          </w:tcPr>
          <w:p>
            <w:pPr>
              <w:pStyle w:val="5"/>
              <w:rPr>
                <w:rFonts w:hint="eastAsia" w:ascii="宋体" w:hAnsi="宋体"/>
                <w:szCs w:val="21"/>
                <w:vertAlign w:val="baseline"/>
                <w:lang w:val="en-US" w:eastAsia="zh-CN"/>
              </w:rPr>
            </w:pPr>
          </w:p>
        </w:tc>
        <w:tc>
          <w:tcPr>
            <w:tcW w:w="1905" w:type="dxa"/>
          </w:tcPr>
          <w:p>
            <w:pPr>
              <w:pStyle w:val="5"/>
              <w:rPr>
                <w:rFonts w:hint="eastAsia" w:ascii="宋体" w:hAnsi="宋体"/>
                <w:szCs w:val="21"/>
                <w:vertAlign w:val="baseline"/>
                <w:lang w:val="en-US" w:eastAsia="zh-CN"/>
              </w:rPr>
            </w:pPr>
          </w:p>
        </w:tc>
        <w:tc>
          <w:tcPr>
            <w:tcW w:w="1420" w:type="dxa"/>
          </w:tcPr>
          <w:p>
            <w:pPr>
              <w:pStyle w:val="5"/>
              <w:rPr>
                <w:rFonts w:hint="eastAsia" w:ascii="宋体" w:hAnsi="宋体"/>
                <w:szCs w:val="21"/>
                <w:vertAlign w:val="baseline"/>
                <w:lang w:val="en-US" w:eastAsia="zh-CN"/>
              </w:rPr>
            </w:pPr>
          </w:p>
        </w:tc>
        <w:tc>
          <w:tcPr>
            <w:tcW w:w="1421" w:type="dxa"/>
          </w:tcPr>
          <w:p>
            <w:pPr>
              <w:pStyle w:val="5"/>
              <w:rPr>
                <w:rFonts w:hint="eastAsia" w:ascii="宋体" w:hAnsi="宋体"/>
                <w:szCs w:val="21"/>
                <w:vertAlign w:val="baseline"/>
                <w:lang w:val="en-US" w:eastAsia="zh-CN"/>
              </w:rPr>
            </w:pPr>
          </w:p>
        </w:tc>
        <w:tc>
          <w:tcPr>
            <w:tcW w:w="1421" w:type="dxa"/>
          </w:tcPr>
          <w:p>
            <w:pPr>
              <w:pStyle w:val="5"/>
              <w:rPr>
                <w:rFonts w:hint="eastAsia" w:ascii="宋体" w:hAnsi="宋体"/>
                <w:szCs w:val="21"/>
                <w:vertAlign w:val="baseline"/>
                <w:lang w:val="en-US" w:eastAsia="zh-CN"/>
              </w:rPr>
            </w:pPr>
          </w:p>
        </w:tc>
      </w:tr>
    </w:tbl>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 w:val="24"/>
          <w:szCs w:val="20"/>
          <w:lang w:val="en-US" w:eastAsia="zh-CN"/>
        </w:rPr>
      </w:pPr>
      <w:r>
        <w:rPr>
          <w:rFonts w:hint="eastAsia" w:ascii="宋体" w:hAnsi="宋体"/>
          <w:sz w:val="24"/>
          <w:szCs w:val="20"/>
          <w:lang w:val="en-US" w:eastAsia="zh-CN"/>
        </w:rPr>
        <w:t>一般参数响应表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438"/>
        <w:gridCol w:w="1905"/>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序号</w:t>
            </w:r>
          </w:p>
        </w:tc>
        <w:tc>
          <w:tcPr>
            <w:tcW w:w="1438"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需求参数</w:t>
            </w:r>
          </w:p>
        </w:tc>
        <w:tc>
          <w:tcPr>
            <w:tcW w:w="1905"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响应实际参数</w:t>
            </w:r>
          </w:p>
        </w:tc>
        <w:tc>
          <w:tcPr>
            <w:tcW w:w="1420"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是否偏离</w:t>
            </w:r>
          </w:p>
        </w:tc>
        <w:tc>
          <w:tcPr>
            <w:tcW w:w="1421"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偏离简述</w:t>
            </w:r>
          </w:p>
        </w:tc>
        <w:tc>
          <w:tcPr>
            <w:tcW w:w="1421" w:type="dxa"/>
          </w:tcPr>
          <w:p>
            <w:pPr>
              <w:pStyle w:val="5"/>
              <w:ind w:left="0" w:leftChars="0" w:firstLine="0" w:firstLineChars="0"/>
              <w:rPr>
                <w:rFonts w:hint="default" w:ascii="宋体" w:hAnsi="宋体"/>
                <w:sz w:val="22"/>
                <w:szCs w:val="18"/>
                <w:vertAlign w:val="baseline"/>
                <w:lang w:val="en-US" w:eastAsia="zh-CN"/>
              </w:rPr>
            </w:pPr>
            <w:r>
              <w:rPr>
                <w:rFonts w:hint="eastAsia" w:ascii="宋体" w:hAnsi="宋体"/>
                <w:sz w:val="22"/>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5"/>
              <w:rPr>
                <w:rFonts w:hint="eastAsia" w:ascii="宋体" w:hAnsi="宋体"/>
                <w:szCs w:val="21"/>
                <w:vertAlign w:val="baseline"/>
                <w:lang w:val="en-US" w:eastAsia="zh-CN"/>
              </w:rPr>
            </w:pPr>
          </w:p>
        </w:tc>
        <w:tc>
          <w:tcPr>
            <w:tcW w:w="1438" w:type="dxa"/>
          </w:tcPr>
          <w:p>
            <w:pPr>
              <w:pStyle w:val="5"/>
              <w:rPr>
                <w:rFonts w:hint="eastAsia" w:ascii="宋体" w:hAnsi="宋体"/>
                <w:szCs w:val="21"/>
                <w:vertAlign w:val="baseline"/>
                <w:lang w:val="en-US" w:eastAsia="zh-CN"/>
              </w:rPr>
            </w:pPr>
          </w:p>
        </w:tc>
        <w:tc>
          <w:tcPr>
            <w:tcW w:w="1905" w:type="dxa"/>
          </w:tcPr>
          <w:p>
            <w:pPr>
              <w:pStyle w:val="5"/>
              <w:rPr>
                <w:rFonts w:hint="eastAsia" w:ascii="宋体" w:hAnsi="宋体"/>
                <w:szCs w:val="21"/>
                <w:vertAlign w:val="baseline"/>
                <w:lang w:val="en-US" w:eastAsia="zh-CN"/>
              </w:rPr>
            </w:pPr>
          </w:p>
        </w:tc>
        <w:tc>
          <w:tcPr>
            <w:tcW w:w="1420" w:type="dxa"/>
          </w:tcPr>
          <w:p>
            <w:pPr>
              <w:pStyle w:val="5"/>
              <w:rPr>
                <w:rFonts w:hint="eastAsia" w:ascii="宋体" w:hAnsi="宋体"/>
                <w:szCs w:val="21"/>
                <w:vertAlign w:val="baseline"/>
                <w:lang w:val="en-US" w:eastAsia="zh-CN"/>
              </w:rPr>
            </w:pPr>
          </w:p>
        </w:tc>
        <w:tc>
          <w:tcPr>
            <w:tcW w:w="1421" w:type="dxa"/>
          </w:tcPr>
          <w:p>
            <w:pPr>
              <w:pStyle w:val="5"/>
              <w:rPr>
                <w:rFonts w:hint="eastAsia" w:ascii="宋体" w:hAnsi="宋体"/>
                <w:szCs w:val="21"/>
                <w:vertAlign w:val="baseline"/>
                <w:lang w:val="en-US" w:eastAsia="zh-CN"/>
              </w:rPr>
            </w:pPr>
          </w:p>
        </w:tc>
        <w:tc>
          <w:tcPr>
            <w:tcW w:w="1421" w:type="dxa"/>
          </w:tcPr>
          <w:p>
            <w:pPr>
              <w:pStyle w:val="5"/>
              <w:rPr>
                <w:rFonts w:hint="eastAsia"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5"/>
              <w:rPr>
                <w:rFonts w:hint="eastAsia" w:ascii="宋体" w:hAnsi="宋体"/>
                <w:szCs w:val="21"/>
                <w:vertAlign w:val="baseline"/>
                <w:lang w:val="en-US" w:eastAsia="zh-CN"/>
              </w:rPr>
            </w:pPr>
          </w:p>
        </w:tc>
        <w:tc>
          <w:tcPr>
            <w:tcW w:w="1438" w:type="dxa"/>
          </w:tcPr>
          <w:p>
            <w:pPr>
              <w:pStyle w:val="5"/>
              <w:rPr>
                <w:rFonts w:hint="eastAsia" w:ascii="宋体" w:hAnsi="宋体"/>
                <w:szCs w:val="21"/>
                <w:vertAlign w:val="baseline"/>
                <w:lang w:val="en-US" w:eastAsia="zh-CN"/>
              </w:rPr>
            </w:pPr>
          </w:p>
        </w:tc>
        <w:tc>
          <w:tcPr>
            <w:tcW w:w="1905" w:type="dxa"/>
          </w:tcPr>
          <w:p>
            <w:pPr>
              <w:pStyle w:val="5"/>
              <w:rPr>
                <w:rFonts w:hint="eastAsia" w:ascii="宋体" w:hAnsi="宋体"/>
                <w:szCs w:val="21"/>
                <w:vertAlign w:val="baseline"/>
                <w:lang w:val="en-US" w:eastAsia="zh-CN"/>
              </w:rPr>
            </w:pPr>
          </w:p>
        </w:tc>
        <w:tc>
          <w:tcPr>
            <w:tcW w:w="1420" w:type="dxa"/>
          </w:tcPr>
          <w:p>
            <w:pPr>
              <w:pStyle w:val="5"/>
              <w:rPr>
                <w:rFonts w:hint="eastAsia" w:ascii="宋体" w:hAnsi="宋体"/>
                <w:szCs w:val="21"/>
                <w:vertAlign w:val="baseline"/>
                <w:lang w:val="en-US" w:eastAsia="zh-CN"/>
              </w:rPr>
            </w:pPr>
          </w:p>
        </w:tc>
        <w:tc>
          <w:tcPr>
            <w:tcW w:w="1421" w:type="dxa"/>
          </w:tcPr>
          <w:p>
            <w:pPr>
              <w:pStyle w:val="5"/>
              <w:rPr>
                <w:rFonts w:hint="eastAsia" w:ascii="宋体" w:hAnsi="宋体"/>
                <w:szCs w:val="21"/>
                <w:vertAlign w:val="baseline"/>
                <w:lang w:val="en-US" w:eastAsia="zh-CN"/>
              </w:rPr>
            </w:pPr>
          </w:p>
        </w:tc>
        <w:tc>
          <w:tcPr>
            <w:tcW w:w="1421" w:type="dxa"/>
          </w:tcPr>
          <w:p>
            <w:pPr>
              <w:pStyle w:val="5"/>
              <w:rPr>
                <w:rFonts w:hint="eastAsia" w:ascii="宋体" w:hAnsi="宋体"/>
                <w:szCs w:val="21"/>
                <w:vertAlign w:val="baseline"/>
                <w:lang w:val="en-US" w:eastAsia="zh-CN"/>
              </w:rPr>
            </w:pPr>
          </w:p>
        </w:tc>
      </w:tr>
    </w:tbl>
    <w:p>
      <w:pPr>
        <w:pStyle w:val="5"/>
        <w:ind w:left="0" w:leftChars="0" w:firstLine="0" w:firstLineChars="0"/>
        <w:rPr>
          <w:rFonts w:hint="eastAsia" w:ascii="宋体" w:hAnsi="宋体"/>
          <w:szCs w:val="21"/>
          <w:lang w:val="en-US" w:eastAsia="zh-CN"/>
        </w:rPr>
      </w:pPr>
    </w:p>
    <w:p>
      <w:pPr>
        <w:pStyle w:val="5"/>
        <w:ind w:left="0" w:leftChars="0" w:firstLine="0" w:firstLineChars="0"/>
        <w:rPr>
          <w:rFonts w:hint="eastAsia" w:ascii="宋体" w:hAnsi="宋体"/>
          <w:szCs w:val="21"/>
          <w:lang w:val="en-US" w:eastAsia="zh-CN"/>
        </w:rPr>
      </w:pPr>
    </w:p>
    <w:p>
      <w:pPr>
        <w:pStyle w:val="5"/>
        <w:ind w:left="0" w:leftChars="0" w:firstLine="0" w:firstLineChars="0"/>
        <w:rPr>
          <w:rFonts w:hint="default" w:ascii="宋体" w:hAnsi="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F5B8E"/>
    <w:multiLevelType w:val="singleLevel"/>
    <w:tmpl w:val="816F5B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2FjMTIzOWMwMmUyMDUxYTM5YTAwMTlhYjYyYWQifQ=="/>
  </w:docVars>
  <w:rsids>
    <w:rsidRoot w:val="56490F38"/>
    <w:rsid w:val="5649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4"/>
    </w:rPr>
  </w:style>
  <w:style w:type="paragraph" w:styleId="3">
    <w:name w:val="toc 5"/>
    <w:basedOn w:val="1"/>
    <w:next w:val="1"/>
    <w:qFormat/>
    <w:uiPriority w:val="0"/>
    <w:pPr>
      <w:ind w:left="840"/>
      <w:jc w:val="left"/>
    </w:pPr>
    <w:rPr>
      <w:rFonts w:ascii="Calibri" w:hAnsi="Calibri" w:cs="Calibri"/>
      <w:sz w:val="18"/>
      <w:szCs w:val="18"/>
    </w:rPr>
  </w:style>
  <w:style w:type="paragraph" w:styleId="4">
    <w:name w:val="Body Text Indent"/>
    <w:basedOn w:val="1"/>
    <w:qFormat/>
    <w:uiPriority w:val="0"/>
    <w:pPr>
      <w:widowControl w:val="0"/>
      <w:spacing w:line="360" w:lineRule="auto"/>
      <w:ind w:left="608" w:hanging="608"/>
      <w:jc w:val="both"/>
    </w:pPr>
    <w:rPr>
      <w:rFonts w:ascii="宋体"/>
      <w:sz w:val="28"/>
    </w:rPr>
  </w:style>
  <w:style w:type="paragraph" w:styleId="5">
    <w:name w:val="Body Text First Indent 2"/>
    <w:basedOn w:val="4"/>
    <w:qFormat/>
    <w:uiPriority w:val="0"/>
    <w:pPr>
      <w:snapToGrid w:val="0"/>
      <w:spacing w:after="120" w:afterLines="0"/>
      <w:ind w:left="420" w:firstLine="420" w:firstLineChars="200"/>
    </w:pPr>
    <w:rPr>
      <w:rFonts w:ascii="Tahoma" w:hAnsi="Tahoma"/>
      <w:kern w:val="2"/>
      <w:szCs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widowControl/>
      <w:ind w:firstLine="420" w:firstLineChars="200"/>
      <w:jc w:val="left"/>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2022-11-26T07:39:00Z</dcterms:created>
  <dc:creator>Rebecca</dc:creator>
  <cp:lastModifiedBy>Rebecca</cp:lastModifiedBy>
  <dcterms:modified xsi:type="dcterms:W3CDTF">2022-11-26T08:14:22Z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68C53225BEB1491D8D3CF4DF4D4EDEF7</vt:lpwstr>
  </property>
</Properties>
</file>