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32"/>
          <w:szCs w:val="32"/>
        </w:rPr>
      </w:pPr>
      <w:r>
        <w:rPr>
          <w:rFonts w:hint="eastAsia"/>
          <w:b/>
          <w:bCs/>
          <w:sz w:val="44"/>
          <w:szCs w:val="44"/>
        </w:rPr>
        <w:t>报价单</w:t>
      </w:r>
    </w:p>
    <w:p>
      <w:pPr>
        <w:spacing w:line="440" w:lineRule="exact"/>
        <w:rPr>
          <w:sz w:val="32"/>
          <w:szCs w:val="32"/>
        </w:rPr>
      </w:pPr>
    </w:p>
    <w:p>
      <w:pPr>
        <w:spacing w:line="440" w:lineRule="exact"/>
        <w:rPr>
          <w:sz w:val="32"/>
          <w:szCs w:val="32"/>
        </w:rPr>
      </w:pPr>
      <w:r>
        <w:rPr>
          <w:rFonts w:hint="eastAsia"/>
          <w:sz w:val="32"/>
          <w:szCs w:val="32"/>
        </w:rPr>
        <w:t>致中山市小榄人民医院：</w:t>
      </w:r>
    </w:p>
    <w:tbl>
      <w:tblPr>
        <w:tblStyle w:val="10"/>
        <w:tblpPr w:leftFromText="180" w:rightFromText="180" w:vertAnchor="text" w:horzAnchor="page" w:tblpX="1299" w:tblpY="584"/>
        <w:tblOverlap w:val="never"/>
        <w:tblW w:w="10049" w:type="dxa"/>
        <w:tblInd w:w="0" w:type="dxa"/>
        <w:tblLayout w:type="fixed"/>
        <w:tblCellMar>
          <w:top w:w="0" w:type="dxa"/>
          <w:left w:w="0" w:type="dxa"/>
          <w:bottom w:w="0" w:type="dxa"/>
          <w:right w:w="0" w:type="dxa"/>
        </w:tblCellMar>
      </w:tblPr>
      <w:tblGrid>
        <w:gridCol w:w="1000"/>
        <w:gridCol w:w="1632"/>
        <w:gridCol w:w="968"/>
        <w:gridCol w:w="1416"/>
        <w:gridCol w:w="885"/>
        <w:gridCol w:w="832"/>
        <w:gridCol w:w="850"/>
        <w:gridCol w:w="1218"/>
        <w:gridCol w:w="1248"/>
      </w:tblGrid>
      <w:tr>
        <w:tblPrEx>
          <w:tblCellMar>
            <w:top w:w="0" w:type="dxa"/>
            <w:left w:w="0" w:type="dxa"/>
            <w:bottom w:w="0" w:type="dxa"/>
            <w:right w:w="0" w:type="dxa"/>
          </w:tblCellMar>
        </w:tblPrEx>
        <w:trPr>
          <w:trHeight w:val="74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4"/>
              </w:rPr>
            </w:pPr>
            <w:r>
              <w:rPr>
                <w:rFonts w:hint="eastAsia" w:ascii="宋体" w:hAnsi="宋体" w:cs="宋体"/>
                <w:kern w:val="0"/>
                <w:sz w:val="24"/>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名称</w:t>
            </w:r>
          </w:p>
        </w:tc>
        <w:tc>
          <w:tcPr>
            <w:tcW w:w="9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型号</w:t>
            </w:r>
          </w:p>
        </w:tc>
        <w:tc>
          <w:tcPr>
            <w:tcW w:w="14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厂家</w:t>
            </w:r>
            <w:r>
              <w:rPr>
                <w:rStyle w:val="17"/>
                <w:color w:val="auto"/>
                <w:sz w:val="24"/>
                <w:szCs w:val="24"/>
              </w:rPr>
              <w:t>/</w:t>
            </w:r>
            <w:r>
              <w:rPr>
                <w:rStyle w:val="18"/>
                <w:rFonts w:hint="default"/>
                <w:color w:val="auto"/>
                <w:sz w:val="24"/>
                <w:szCs w:val="24"/>
              </w:rPr>
              <w:t>品牌</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产地</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单位</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数量</w:t>
            </w:r>
          </w:p>
        </w:tc>
        <w:tc>
          <w:tcPr>
            <w:tcW w:w="12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单价（元）</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总价（元）</w:t>
            </w:r>
          </w:p>
        </w:tc>
      </w:tr>
      <w:tr>
        <w:tblPrEx>
          <w:tblCellMar>
            <w:top w:w="0" w:type="dxa"/>
            <w:left w:w="0" w:type="dxa"/>
            <w:bottom w:w="0" w:type="dxa"/>
            <w:right w:w="0" w:type="dxa"/>
          </w:tblCellMar>
        </w:tblPrEx>
        <w:trPr>
          <w:trHeight w:val="375" w:hRule="atLeast"/>
        </w:trPr>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r>
              <w:rPr>
                <w:rFonts w:hint="eastAsia"/>
                <w:sz w:val="24"/>
              </w:rPr>
              <w:t>1</w:t>
            </w:r>
          </w:p>
        </w:tc>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14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r>
              <w:rPr>
                <w:rFonts w:hint="eastAsia"/>
                <w:sz w:val="24"/>
              </w:rPr>
              <w:t>1</w:t>
            </w:r>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r>
    </w:tbl>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1、以上设备提供原厂</w:t>
      </w:r>
      <w:r>
        <w:rPr>
          <w:rFonts w:hint="eastAsia"/>
          <w:sz w:val="28"/>
          <w:szCs w:val="28"/>
          <w:u w:val="single"/>
        </w:rPr>
        <w:t xml:space="preserve">     </w:t>
      </w:r>
      <w:r>
        <w:rPr>
          <w:rFonts w:hint="eastAsia"/>
          <w:sz w:val="28"/>
          <w:szCs w:val="28"/>
        </w:rPr>
        <w:t>年质保。</w:t>
      </w:r>
    </w:p>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2、配件、耗材报价（如有请详细列出来）：</w:t>
      </w:r>
    </w:p>
    <w:tbl>
      <w:tblPr>
        <w:tblStyle w:val="10"/>
        <w:tblpPr w:leftFromText="180" w:rightFromText="180" w:vertAnchor="text" w:horzAnchor="page" w:tblpX="792" w:tblpY="355"/>
        <w:tblOverlap w:val="never"/>
        <w:tblW w:w="10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184"/>
        <w:gridCol w:w="1066"/>
        <w:gridCol w:w="867"/>
        <w:gridCol w:w="1350"/>
        <w:gridCol w:w="750"/>
        <w:gridCol w:w="783"/>
        <w:gridCol w:w="900"/>
        <w:gridCol w:w="717"/>
        <w:gridCol w:w="141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bookmarkStart w:id="0" w:name="OLE_LINK1"/>
            <w:r>
              <w:rPr>
                <w:rFonts w:hint="eastAsia" w:ascii="宋体" w:hAnsi="宋体" w:eastAsia="宋体" w:cs="宋体"/>
                <w:i w:val="0"/>
                <w:iCs w:val="0"/>
                <w:color w:val="000000"/>
                <w:kern w:val="0"/>
                <w:sz w:val="24"/>
                <w:szCs w:val="24"/>
                <w:u w:val="none"/>
                <w:lang w:val="en-US" w:eastAsia="zh-CN" w:bidi="ar"/>
              </w:rPr>
              <w:t>药交ID</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国家医保耗材代码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医疗器械注册证号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耗材/试剂/消耗品/配件</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是否专机专用</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是否可收费</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联盟区/省平台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供应商报价（如果在联盟区，报价不得高于联盟区限价）</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2068328</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C1701082160600006251</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辐照生物敷料</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0.5-7鼓(100mmx200mm/鼓)</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300 </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自行添加</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kern w:val="0"/>
                <w:sz w:val="24"/>
                <w:szCs w:val="24"/>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0"/>
    </w:tbl>
    <w:p>
      <w:pPr>
        <w:jc w:val="right"/>
        <w:rPr>
          <w:sz w:val="28"/>
          <w:szCs w:val="28"/>
        </w:rPr>
      </w:pPr>
      <w:r>
        <w:rPr>
          <w:rFonts w:hint="eastAsia"/>
          <w:sz w:val="28"/>
          <w:szCs w:val="28"/>
        </w:rPr>
        <w:t xml:space="preserve">                           报价公司（盖章）：</w:t>
      </w:r>
    </w:p>
    <w:p>
      <w:pPr>
        <w:ind w:firstLine="5320" w:firstLineChars="1900"/>
        <w:jc w:val="right"/>
        <w:rPr>
          <w:sz w:val="28"/>
          <w:szCs w:val="28"/>
        </w:rPr>
      </w:pPr>
      <w:r>
        <w:rPr>
          <w:rFonts w:hint="eastAsia"/>
          <w:sz w:val="28"/>
          <w:szCs w:val="28"/>
        </w:rPr>
        <w:t>报价联系人：</w:t>
      </w:r>
    </w:p>
    <w:p>
      <w:pPr>
        <w:jc w:val="right"/>
        <w:rPr>
          <w:sz w:val="28"/>
          <w:szCs w:val="28"/>
        </w:rPr>
      </w:pPr>
      <w:bookmarkStart w:id="1" w:name="_GoBack"/>
      <w:bookmarkEnd w:id="1"/>
      <w:r>
        <w:rPr>
          <w:rFonts w:hint="eastAsia"/>
          <w:sz w:val="28"/>
          <w:szCs w:val="28"/>
        </w:rPr>
        <w:t xml:space="preserve">                           联系方式：</w:t>
      </w:r>
    </w:p>
    <w:p>
      <w:pPr>
        <w:jc w:val="right"/>
        <w:rPr>
          <w:sz w:val="28"/>
          <w:szCs w:val="28"/>
        </w:rPr>
      </w:pPr>
      <w:r>
        <w:rPr>
          <w:rFonts w:hint="eastAsia"/>
          <w:sz w:val="28"/>
          <w:szCs w:val="28"/>
        </w:rPr>
        <w:t xml:space="preserve">                       邮箱：</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 w:val="28"/>
          <w:szCs w:val="28"/>
          <w:lang w:eastAsia="zh-CN"/>
        </w:rPr>
      </w:pPr>
      <w:r>
        <w:rPr>
          <w:rFonts w:hint="eastAsia"/>
          <w:sz w:val="28"/>
          <w:szCs w:val="28"/>
        </w:rPr>
        <w:t xml:space="preserve">                           报价时间</w:t>
      </w:r>
      <w:r>
        <w:rPr>
          <w:rFonts w:hint="eastAsia"/>
          <w:sz w:val="28"/>
          <w:szCs w:val="28"/>
          <w:lang w:eastAsia="zh-CN"/>
        </w:rPr>
        <w:t>：</w:t>
      </w:r>
    </w:p>
    <w:p>
      <w:pPr>
        <w:pStyle w:val="13"/>
        <w:rPr>
          <w:rFonts w:hint="eastAsia"/>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4"/>
        </w:rPr>
      </w:pPr>
      <w:r>
        <w:rPr>
          <w:rFonts w:hint="eastAsia"/>
          <w:sz w:val="24"/>
        </w:rPr>
        <w:t>报价供应商须同时提供以下资料：</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sz w:val="24"/>
        </w:rPr>
        <w:t>推荐产品的彩页、产品参数及配置清单、参数偏离情况表、医疗器械注册证、供应商证件、厂家证件、代理商授权书、销售人（授权代表）授权书、厂家售后服务承诺书、广东地区三甲医院客户名单（销售合同）</w:t>
      </w:r>
      <w:r>
        <w:rPr>
          <w:rFonts w:hint="eastAsia"/>
          <w:b/>
          <w:sz w:val="24"/>
          <w:lang w:val="en-US" w:eastAsia="zh-CN"/>
        </w:rPr>
        <w:t>等。</w:t>
      </w:r>
    </w:p>
    <w:p>
      <w:pPr>
        <w:spacing w:line="440" w:lineRule="exact"/>
        <w:jc w:val="center"/>
        <w:rPr>
          <w:b/>
          <w:sz w:val="32"/>
          <w:szCs w:val="32"/>
        </w:rPr>
      </w:pPr>
      <w:r>
        <w:rPr>
          <w:rFonts w:hint="eastAsia"/>
          <w:b/>
          <w:sz w:val="32"/>
          <w:szCs w:val="32"/>
        </w:rPr>
        <w:t>参数偏离情况表</w:t>
      </w:r>
    </w:p>
    <w:p>
      <w:pPr>
        <w:spacing w:line="440" w:lineRule="exact"/>
        <w:rPr>
          <w:sz w:val="24"/>
        </w:rPr>
      </w:pPr>
      <w:r>
        <w:rPr>
          <w:rFonts w:hint="eastAsia"/>
          <w:sz w:val="24"/>
        </w:rPr>
        <w:t>偏离表填写要求：</w:t>
      </w:r>
    </w:p>
    <w:p>
      <w:pPr>
        <w:spacing w:line="440" w:lineRule="exact"/>
        <w:rPr>
          <w:sz w:val="24"/>
        </w:rPr>
      </w:pPr>
      <w:r>
        <w:rPr>
          <w:rFonts w:hint="eastAsia"/>
          <w:sz w:val="24"/>
        </w:rPr>
        <w:t>1、请提供参数响应情况，正负偏离参数备注说明。</w:t>
      </w:r>
    </w:p>
    <w:p>
      <w:pPr>
        <w:spacing w:line="440" w:lineRule="exact"/>
        <w:rPr>
          <w:sz w:val="24"/>
        </w:rPr>
      </w:pPr>
      <w:r>
        <w:rPr>
          <w:rFonts w:hint="eastAsia"/>
          <w:sz w:val="24"/>
        </w:rPr>
        <w:t>2、明确写明在各组成部分名称下的主要或重要参数名称及技术参数。</w:t>
      </w:r>
    </w:p>
    <w:p>
      <w:pPr>
        <w:spacing w:line="440" w:lineRule="exact"/>
        <w:rPr>
          <w:sz w:val="24"/>
        </w:rPr>
      </w:pPr>
      <w:r>
        <w:rPr>
          <w:rFonts w:hint="eastAsia" w:ascii="宋体" w:hAnsi="宋体"/>
          <w:sz w:val="24"/>
        </w:rPr>
        <w:t>3、报价应包含完成项目所需的一切费用。</w:t>
      </w:r>
    </w:p>
    <w:p>
      <w:pPr>
        <w:spacing w:line="440" w:lineRule="exact"/>
        <w:rPr>
          <w:sz w:val="24"/>
        </w:rPr>
      </w:pPr>
      <w:r>
        <w:rPr>
          <w:rFonts w:hint="eastAsia"/>
          <w:sz w:val="24"/>
        </w:rPr>
        <w:t>4、提供推荐方案的产品配置清单。</w:t>
      </w:r>
    </w:p>
    <w:p>
      <w:pPr>
        <w:spacing w:line="440" w:lineRule="exact"/>
        <w:rPr>
          <w:sz w:val="24"/>
        </w:rPr>
      </w:pPr>
      <w:r>
        <w:rPr>
          <w:rFonts w:hint="eastAsia"/>
          <w:sz w:val="24"/>
        </w:rPr>
        <w:t>5、其中带★的参数 是必须完全响应的参数。</w:t>
      </w:r>
    </w:p>
    <w:p>
      <w:pPr>
        <w:spacing w:line="440" w:lineRule="exact"/>
        <w:rPr>
          <w:sz w:val="24"/>
        </w:rPr>
      </w:pPr>
      <w:r>
        <w:rPr>
          <w:rFonts w:hint="eastAsia"/>
          <w:sz w:val="24"/>
        </w:rPr>
        <w:t>6、供应商提供的产品负偏离占比不超过10%。</w:t>
      </w:r>
    </w:p>
    <w:p>
      <w:pPr>
        <w:spacing w:line="380" w:lineRule="exact"/>
        <w:rPr>
          <w:rFonts w:ascii="宋体" w:hAnsi="宋体"/>
          <w:szCs w:val="21"/>
        </w:rPr>
      </w:pPr>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sz w:val="24"/>
        </w:rPr>
        <w:t>（请按用户需求里的技术要求及配置要求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1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5732"/>
        <w:gridCol w:w="154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32"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参数要求</w:t>
            </w:r>
          </w:p>
        </w:tc>
        <w:tc>
          <w:tcPr>
            <w:tcW w:w="1547" w:type="dxa"/>
            <w:vAlign w:val="center"/>
          </w:tcPr>
          <w:p>
            <w:pPr>
              <w:tabs>
                <w:tab w:val="left" w:pos="72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完全响应或</w:t>
            </w:r>
          </w:p>
          <w:p>
            <w:pPr>
              <w:autoSpaceDE w:val="0"/>
              <w:autoSpaceDN w:val="0"/>
              <w:adjustRightInd w:val="0"/>
              <w:spacing w:line="440" w:lineRule="exact"/>
              <w:jc w:val="center"/>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szCs w:val="21"/>
                <w:highlight w:val="none"/>
              </w:rPr>
              <w:t>正/负偏离</w:t>
            </w:r>
          </w:p>
        </w:tc>
        <w:tc>
          <w:tcPr>
            <w:tcW w:w="1076" w:type="dxa"/>
            <w:vAlign w:val="center"/>
          </w:tcPr>
          <w:p>
            <w:pPr>
              <w:autoSpaceDE w:val="0"/>
              <w:autoSpaceDN w:val="0"/>
              <w:adjustRightInd w:val="0"/>
              <w:spacing w:line="440" w:lineRule="exact"/>
              <w:jc w:val="center"/>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kern w:val="0"/>
                <w:sz w:val="21"/>
                <w:szCs w:val="21"/>
                <w:highlight w:val="none"/>
              </w:rPr>
              <w:t>总体要求：</w:t>
            </w:r>
          </w:p>
        </w:tc>
        <w:tc>
          <w:tcPr>
            <w:tcW w:w="1547" w:type="dxa"/>
            <w:vAlign w:val="center"/>
          </w:tcPr>
          <w:p>
            <w:pPr>
              <w:spacing w:line="240" w:lineRule="auto"/>
              <w:rPr>
                <w:rFonts w:hint="eastAsia" w:ascii="宋体" w:hAnsi="宋体" w:eastAsia="宋体" w:cs="宋体"/>
                <w:b/>
                <w:color w:val="auto"/>
                <w:kern w:val="0"/>
                <w:sz w:val="21"/>
                <w:szCs w:val="21"/>
                <w:highlight w:val="none"/>
              </w:rPr>
            </w:pPr>
          </w:p>
        </w:tc>
        <w:tc>
          <w:tcPr>
            <w:tcW w:w="1076" w:type="dxa"/>
            <w:vAlign w:val="center"/>
          </w:tcPr>
          <w:p>
            <w:pPr>
              <w:spacing w:line="240" w:lineRule="auto"/>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为确保产品的稳定、兼容和耐久性，提高手术安全性和操作方便性，以及售后服务的一致性，本标段的高频/射频主机、椎间孔镜、手术器械、高清医用内窥镜摄像系统为同一品牌。</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内窥镜的注册证名称为“椎间孔镜”（含同类意思表述）。</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二</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高频/射频主机及配套电极1套，参数要求：</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2.1</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工作频率：1.71</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 xml:space="preserve"> MHz 调制射频。</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2.2</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输入功率≥300VA双极输出功率：切割≥90W；凝血≥70W。</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2.3</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脚踏开关操作。</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安全性：采用独创的定向射频电波发射技术，无电流通过人体，无电灼伤的风险。</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主机内设自我保护装置及系统自检和报警功能。</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手术电极与主机相同品牌，电极工作端直径≥2.5mm。电极必须为双层不锈钢管，其中一层为外套管，用于插入内窥镜工作通道；另一层牢固地外覆于电极芯并受手柄控制在外套管内前后移动，以便确保电极工作头端的可控性，提供良好触觉反馈。</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三</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椎间孔镜参数要求：</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视向角≥30°。</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3.2</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视场角≥75°。</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3.3</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工作通道直径3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5mm～3.9mm。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3.4</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工作长度≥205mm。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四</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手术器械参数及配置要求：</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4.1</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4种尺寸逐级扩张导管及2种尺寸导杆各1支，具有不同的颜色标记，前端为圆锥形。内径1.0mm～6.5mm，外径2.5mm～7.3mm，长度175mm～240mm。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4.2</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扩张导杆1支，外径≥7.3mm；边缘具有一个贯通的偏心内切圆，内切圆直径≥4.1mm。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4.3</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工作套管1支，前端为半齿冠状，内径≥7.5mm，外径≥8.5mm，长度≤175mm。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4.4</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工作套管1支，前端为斜面半齿状，内径≥7.5mm，外径≥8.5mm，长度≤175mm。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粗齿扩孔器1支，长度≤210mm，内径≥6.5mm，外径≥7.5mm。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4.6</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扩孔钻推进-取出器1支，外径≥6.0mm，长度≤280mm。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4.7</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双通道扩张导杆1支，2个内通道直径≤1.5mm，外径≤6.3mm。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4.8</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凿型工作套管1支，前端为锯齿，内表面具有毫米刻度；内径≥6.5mm，外径≤7.8mm，长度≥185mm。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4.9</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工作套管1支，后端带把手，前端为斜面；内径≥6.5mm，外径≤7.5mm，长度≥205mm。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4.10</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内窥镜下使用剥离器1支，直径≥3.5mm，L型工作端长度≥3.3mm。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4.11</w:t>
            </w:r>
          </w:p>
        </w:tc>
        <w:tc>
          <w:tcPr>
            <w:tcW w:w="5732" w:type="dxa"/>
            <w:vAlign w:val="center"/>
          </w:tcPr>
          <w:p>
            <w:pPr>
              <w:spacing w:line="240" w:lineRule="auto"/>
              <w:rPr>
                <w:rFonts w:hint="eastAsia" w:ascii="宋体" w:hAnsi="宋体" w:cs="宋体" w:eastAsiaTheme="minorEastAsia"/>
                <w:color w:val="auto"/>
                <w:kern w:val="0"/>
                <w:sz w:val="21"/>
                <w:szCs w:val="21"/>
                <w:highlight w:val="none"/>
                <w:lang w:val="en-US" w:eastAsia="zh-CN" w:bidi="ar"/>
              </w:rPr>
            </w:pPr>
            <w:r>
              <w:rPr>
                <w:rFonts w:hint="eastAsia" w:ascii="宋体" w:hAnsi="宋体" w:eastAsia="宋体" w:cs="宋体"/>
                <w:color w:val="auto"/>
                <w:sz w:val="21"/>
                <w:szCs w:val="21"/>
                <w:highlight w:val="none"/>
              </w:rPr>
              <w:t>骨凿1支，外径≥2.5mm，长度≤320mm。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仿宋" w:hAnsi="仿宋" w:eastAsia="仿宋" w:cs="仿宋"/>
                <w:b/>
                <w:color w:val="auto"/>
                <w:sz w:val="24"/>
                <w:highlight w:val="none"/>
              </w:rPr>
            </w:pPr>
            <w:r>
              <w:rPr>
                <w:rFonts w:hint="eastAsia" w:ascii="宋体" w:hAnsi="宋体" w:eastAsia="宋体" w:cs="宋体"/>
                <w:color w:val="auto"/>
                <w:sz w:val="21"/>
                <w:szCs w:val="21"/>
                <w:highlight w:val="none"/>
              </w:rPr>
              <w:t>4.12</w:t>
            </w:r>
          </w:p>
        </w:tc>
        <w:tc>
          <w:tcPr>
            <w:tcW w:w="5732" w:type="dxa"/>
            <w:vAlign w:val="center"/>
          </w:tcPr>
          <w:p>
            <w:pPr>
              <w:spacing w:line="240" w:lineRule="auto"/>
              <w:rPr>
                <w:color w:val="auto"/>
                <w:highlight w:val="none"/>
              </w:rPr>
            </w:pPr>
            <w:r>
              <w:rPr>
                <w:rFonts w:hint="eastAsia" w:ascii="宋体" w:hAnsi="宋体" w:eastAsia="宋体" w:cs="宋体"/>
                <w:color w:val="auto"/>
                <w:sz w:val="21"/>
                <w:szCs w:val="21"/>
                <w:highlight w:val="none"/>
              </w:rPr>
              <w:t>可曲性窥镜探棒及手柄各1支，能手动控制弯曲角度和伸缩长度，直径≥2.0mm。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4.13</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内窥镜下使用的勺型活检钳1把，直径≤2.5mm，钳口长度≥4.0mm，长度≤320mm。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4.14</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内窥镜下使用的带角度勺型活检钳1把，直径≥2.0mm，钳口上翘角度≥45°，长度≤320mm。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4.15</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内窥镜下使用的可随意控制弯曲弧度的半柔性抓钳1把，直径≥2.5mm，钳口上翘角度≥45°螺旋弹簧活动关节长度≥2.5mm，长度≤320mm。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4.16</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内窥镜下使用的勺型活检钳1把，直径≥3.5mm，钳口长度≥4.0mm，长度≤320mm。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4.17</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内窥镜下使用的打孔钳1把，头端上翘≥12°，直径≥2.5mm，钳口长度≥4.5mm，长度≤320mm。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4.18</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内窥镜下使用的咬骨鞘管1把，直径≥3.5mm，长度≤320mm，钳口为40°，前端楔形，宽度≤1.5mm。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4.19</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内窥镜下使用的咬骨鞘管1把，直径≥3.5mm，长度≤320mm，钳口为90°，前端楔形，宽度≤1.5mm。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4.20</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可拆卸式咬骨鞘管手柄1把，手柄内孔道≥5.5mm。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4.21</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配套器械包括缓冲榔头，穿刺套装各1个。能归类放置全部器械的原装消毒灭菌托盘2个。</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五</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高清医用内窥镜摄像系统及配件参数要求：</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Cs/>
                <w:color w:val="auto"/>
                <w:sz w:val="21"/>
                <w:szCs w:val="21"/>
                <w:highlight w:val="none"/>
              </w:rPr>
              <w:t>5.1</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摄像头内含三组传感器，每组均为1080P。 </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Cs/>
                <w:color w:val="auto"/>
                <w:sz w:val="21"/>
                <w:szCs w:val="21"/>
                <w:highlight w:val="none"/>
              </w:rPr>
              <w:t>5.2</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像素：1920（水平）×1080（垂直）。 </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Cs/>
                <w:color w:val="auto"/>
                <w:sz w:val="21"/>
                <w:szCs w:val="21"/>
                <w:highlight w:val="none"/>
              </w:rPr>
              <w:t>5.3</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视频输出清晰度：1080P。</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Cs/>
                <w:color w:val="auto"/>
                <w:sz w:val="21"/>
                <w:szCs w:val="21"/>
                <w:highlight w:val="none"/>
              </w:rPr>
              <w:t>5.4</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光源照度≥100000 Lux。 </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Cs/>
                <w:color w:val="auto"/>
                <w:sz w:val="21"/>
                <w:szCs w:val="21"/>
                <w:highlight w:val="none"/>
              </w:rPr>
              <w:t>5.5</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光源寿命≥40000小时。</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六</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color w:val="auto"/>
                <w:sz w:val="21"/>
                <w:szCs w:val="21"/>
                <w:highlight w:val="none"/>
              </w:rPr>
              <w:t>手术动力系统1套，参数及配置要求：</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6.1</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主机：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6.5寸液晶屏，</w:t>
            </w:r>
            <w:r>
              <w:rPr>
                <w:rFonts w:hint="eastAsia" w:ascii="宋体" w:hAnsi="宋体" w:eastAsia="宋体" w:cs="宋体"/>
                <w:color w:val="auto"/>
                <w:kern w:val="0"/>
                <w:sz w:val="21"/>
                <w:szCs w:val="21"/>
                <w:highlight w:val="none"/>
              </w:rPr>
              <w:t>手柄、脚踏连接故障诊断功能，转速可调。</w:t>
            </w:r>
          </w:p>
        </w:tc>
        <w:tc>
          <w:tcPr>
            <w:tcW w:w="1547" w:type="dxa"/>
            <w:vAlign w:val="center"/>
          </w:tcPr>
          <w:p>
            <w:pPr>
              <w:spacing w:line="240" w:lineRule="auto"/>
              <w:rPr>
                <w:rFonts w:hint="eastAsia" w:ascii="宋体" w:hAnsi="宋体" w:eastAsia="宋体" w:cs="宋体"/>
                <w:color w:val="auto"/>
                <w:kern w:val="0"/>
                <w:sz w:val="21"/>
                <w:szCs w:val="21"/>
                <w:highlight w:val="none"/>
                <w:lang w:bidi="ar"/>
              </w:rPr>
            </w:pPr>
          </w:p>
        </w:tc>
        <w:tc>
          <w:tcPr>
            <w:tcW w:w="1076" w:type="dxa"/>
            <w:vAlign w:val="center"/>
          </w:tcPr>
          <w:p>
            <w:pPr>
              <w:spacing w:line="240" w:lineRule="auto"/>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6.2</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脚踏：无极变速。</w:t>
            </w:r>
          </w:p>
        </w:tc>
        <w:tc>
          <w:tcPr>
            <w:tcW w:w="1547" w:type="dxa"/>
            <w:vAlign w:val="center"/>
          </w:tcPr>
          <w:p>
            <w:pPr>
              <w:spacing w:line="240" w:lineRule="auto"/>
              <w:rPr>
                <w:rFonts w:hint="eastAsia" w:ascii="宋体" w:hAnsi="宋体" w:eastAsia="宋体" w:cs="宋体"/>
                <w:color w:val="auto"/>
                <w:kern w:val="0"/>
                <w:sz w:val="21"/>
                <w:szCs w:val="21"/>
                <w:highlight w:val="none"/>
                <w:lang w:bidi="ar"/>
              </w:rPr>
            </w:pPr>
          </w:p>
        </w:tc>
        <w:tc>
          <w:tcPr>
            <w:tcW w:w="1076" w:type="dxa"/>
            <w:vAlign w:val="center"/>
          </w:tcPr>
          <w:p>
            <w:pPr>
              <w:spacing w:line="240" w:lineRule="auto"/>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6.3</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手柄1把：用于脊柱内镜微创手术，内窥镜直视下用于椎间孔成形，对骨组织进行打磨、切削，长度≤270mm，直径≤3.7mm，最高转速</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20000转/分。</w:t>
            </w:r>
            <w:r>
              <w:rPr>
                <w:rFonts w:hint="eastAsia" w:ascii="宋体" w:hAnsi="宋体" w:eastAsia="宋体" w:cs="宋体"/>
                <w:color w:val="auto"/>
                <w:kern w:val="0"/>
                <w:sz w:val="21"/>
                <w:szCs w:val="21"/>
                <w:highlight w:val="none"/>
              </w:rPr>
              <w:t>可高温灭菌</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rPr>
              <w:t>配有用于不同手术部位的各种规格型号磨头（≥2个）和各种规格型号磨铣刀头（≥3个）。</w:t>
            </w:r>
          </w:p>
        </w:tc>
        <w:tc>
          <w:tcPr>
            <w:tcW w:w="1547" w:type="dxa"/>
            <w:vAlign w:val="center"/>
          </w:tcPr>
          <w:p>
            <w:pPr>
              <w:spacing w:line="240" w:lineRule="auto"/>
              <w:rPr>
                <w:rFonts w:hint="eastAsia" w:ascii="宋体" w:hAnsi="宋体" w:eastAsia="宋体" w:cs="宋体"/>
                <w:color w:val="auto"/>
                <w:kern w:val="0"/>
                <w:sz w:val="21"/>
                <w:szCs w:val="21"/>
                <w:highlight w:val="none"/>
                <w:lang w:bidi="ar"/>
              </w:rPr>
            </w:pPr>
          </w:p>
        </w:tc>
        <w:tc>
          <w:tcPr>
            <w:tcW w:w="1076" w:type="dxa"/>
            <w:vAlign w:val="center"/>
          </w:tcPr>
          <w:p>
            <w:pPr>
              <w:spacing w:line="240" w:lineRule="auto"/>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6.4</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手柄</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1把：用于脊柱外科各类开放式手术，长度</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40mm，</w:t>
            </w:r>
            <w:r>
              <w:rPr>
                <w:rFonts w:hint="eastAsia" w:ascii="宋体" w:hAnsi="宋体" w:eastAsia="宋体" w:cs="宋体"/>
                <w:color w:val="auto"/>
                <w:kern w:val="0"/>
                <w:sz w:val="21"/>
                <w:szCs w:val="21"/>
                <w:highlight w:val="none"/>
              </w:rPr>
              <w:t>可高温灭菌。配有用于不同手术部位的各种规格型号磨头（≥13个）和各种规格型号动力骨刀（≥4个）。</w:t>
            </w:r>
          </w:p>
        </w:tc>
        <w:tc>
          <w:tcPr>
            <w:tcW w:w="1547" w:type="dxa"/>
            <w:vAlign w:val="center"/>
          </w:tcPr>
          <w:p>
            <w:pPr>
              <w:spacing w:line="240" w:lineRule="auto"/>
              <w:rPr>
                <w:rFonts w:hint="eastAsia" w:ascii="宋体" w:hAnsi="宋体" w:eastAsia="宋体" w:cs="宋体"/>
                <w:color w:val="auto"/>
                <w:kern w:val="0"/>
                <w:sz w:val="21"/>
                <w:szCs w:val="21"/>
                <w:highlight w:val="none"/>
                <w:lang w:bidi="ar"/>
              </w:rPr>
            </w:pPr>
          </w:p>
        </w:tc>
        <w:tc>
          <w:tcPr>
            <w:tcW w:w="1076" w:type="dxa"/>
            <w:vAlign w:val="center"/>
          </w:tcPr>
          <w:p>
            <w:pPr>
              <w:spacing w:line="240" w:lineRule="auto"/>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240" w:lineRule="auto"/>
              <w:jc w:val="center"/>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七</w:t>
            </w:r>
          </w:p>
        </w:tc>
        <w:tc>
          <w:tcPr>
            <w:tcW w:w="5732" w:type="dxa"/>
            <w:vAlign w:val="center"/>
          </w:tcPr>
          <w:p>
            <w:pPr>
              <w:spacing w:line="240" w:lineRule="auto"/>
              <w:rPr>
                <w:rFonts w:ascii="宋体" w:hAnsi="宋体" w:cs="宋体" w:eastAsiaTheme="minorEastAsia"/>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★如有配套医用耗材：合同签订前必须提供国家医保耗材代码，必须提供广东省药品电子交易平台的药交ID和联盟区限价。（投标文件中提供承诺函并加盖投标人盖章）</w:t>
            </w:r>
          </w:p>
        </w:tc>
        <w:tc>
          <w:tcPr>
            <w:tcW w:w="1547" w:type="dxa"/>
            <w:vAlign w:val="center"/>
          </w:tcPr>
          <w:p>
            <w:pPr>
              <w:spacing w:line="240" w:lineRule="auto"/>
              <w:rPr>
                <w:rFonts w:hint="eastAsia" w:ascii="宋体" w:hAnsi="宋体" w:eastAsia="宋体" w:cs="宋体"/>
                <w:b/>
                <w:bCs/>
                <w:color w:val="auto"/>
                <w:kern w:val="0"/>
                <w:sz w:val="21"/>
                <w:szCs w:val="21"/>
                <w:highlight w:val="none"/>
              </w:rPr>
            </w:pPr>
          </w:p>
        </w:tc>
        <w:tc>
          <w:tcPr>
            <w:tcW w:w="1076" w:type="dxa"/>
            <w:vAlign w:val="center"/>
          </w:tcPr>
          <w:p>
            <w:pPr>
              <w:spacing w:line="240" w:lineRule="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596" w:type="dxa"/>
            <w:gridSpan w:val="2"/>
            <w:vAlign w:val="top"/>
          </w:tcPr>
          <w:p>
            <w:pPr>
              <w:numPr>
                <w:ilvl w:val="0"/>
                <w:numId w:val="0"/>
              </w:numPr>
              <w:spacing w:line="440" w:lineRule="exact"/>
              <w:rPr>
                <w:rFonts w:ascii="仿宋" w:hAnsi="仿宋" w:eastAsia="仿宋" w:cs="仿宋"/>
                <w:b/>
                <w:color w:val="auto"/>
                <w:sz w:val="24"/>
                <w:highlight w:val="none"/>
              </w:rPr>
            </w:pPr>
            <w:r>
              <w:rPr>
                <w:rFonts w:hint="eastAsia" w:ascii="宋体" w:hAnsi="宋体" w:cs="宋体"/>
                <w:color w:val="auto"/>
                <w:kern w:val="0"/>
                <w:szCs w:val="21"/>
                <w:highlight w:val="none"/>
                <w:lang w:val="en-US" w:eastAsia="zh-CN" w:bidi="ar"/>
              </w:rPr>
              <w:t>8、</w:t>
            </w:r>
            <w:r>
              <w:rPr>
                <w:rFonts w:hint="eastAsia" w:ascii="仿宋" w:hAnsi="仿宋" w:eastAsia="仿宋" w:cs="仿宋"/>
                <w:b/>
                <w:color w:val="auto"/>
                <w:sz w:val="24"/>
                <w:highlight w:val="none"/>
              </w:rPr>
              <w:t>设备配置要求：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4637"/>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0" w:type="auto"/>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0" w:type="auto"/>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0" w:type="auto"/>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椎间孔镜</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定位针（含18G定位针、0.8mm的定位丝各一支）</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noWrap w:val="0"/>
                  <w:vAlign w:val="center"/>
                </w:tcPr>
                <w:p>
                  <w:pPr>
                    <w:autoSpaceDE w:val="0"/>
                    <w:autoSpaceDN w:val="0"/>
                    <w:adjustRightIn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圆锥形导杆</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noWrap w:val="0"/>
                  <w:vAlign w:val="center"/>
                </w:tcPr>
                <w:p>
                  <w:pPr>
                    <w:pStyle w:val="6"/>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圆锥形导管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圆锥形导管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圆锥形导管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0" w:type="auto"/>
                  <w:noWrap w:val="0"/>
                  <w:vAlign w:val="center"/>
                </w:tcPr>
                <w:p>
                  <w:pPr>
                    <w:pStyle w:val="6"/>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圆锥形导管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0" w:type="auto"/>
                  <w:noWrap w:val="0"/>
                  <w:vAlign w:val="center"/>
                </w:tcPr>
                <w:p>
                  <w:pPr>
                    <w:autoSpaceDE w:val="0"/>
                    <w:autoSpaceDN w:val="0"/>
                    <w:adjustRightIn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圆锥形导杆</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扩张导杆</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工作套管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工作套管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粗齿扩孔器</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0" w:type="auto"/>
                  <w:noWrap w:val="0"/>
                  <w:vAlign w:val="center"/>
                </w:tcPr>
                <w:p>
                  <w:pPr>
                    <w:pStyle w:val="6"/>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扩孔钻推进-取出器</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0" w:type="auto"/>
                  <w:noWrap w:val="0"/>
                  <w:vAlign w:val="center"/>
                </w:tcPr>
                <w:p>
                  <w:pPr>
                    <w:pStyle w:val="6"/>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双通道扩张导杆</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凿型工作套管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0" w:type="auto"/>
                  <w:noWrap w:val="0"/>
                  <w:vAlign w:val="center"/>
                </w:tcPr>
                <w:p>
                  <w:pPr>
                    <w:pStyle w:val="6"/>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标准窗型带把手工作套管（含工作套管手柄）</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0" w:type="auto"/>
                  <w:noWrap w:val="0"/>
                  <w:vAlign w:val="center"/>
                </w:tcPr>
                <w:p>
                  <w:pPr>
                    <w:pStyle w:val="6"/>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金属锤（带兰色缓冲垫）</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可曲性窥镜探棒手柄</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可曲性窥镜探棒</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pPr>
                    <w:pStyle w:val="6"/>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剥离器</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无手柄型窥镜凿子</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勺型活检钳</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带角度勺型活检钳</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半柔性抓钳</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勺型活检钳</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打孔钳</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鞘管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鞘管</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手柄</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高频/射频机</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0" w:type="auto"/>
                  <w:noWrap w:val="0"/>
                  <w:vAlign w:val="center"/>
                </w:tcPr>
                <w:p>
                  <w:pPr>
                    <w:spacing w:line="240" w:lineRule="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高清医用内窥镜摄像系统（含LED冷光源、显示器、台车）</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0" w:type="auto"/>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手术动力系统</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bl>
          <w:p>
            <w:pPr>
              <w:widowControl/>
              <w:textAlignment w:val="top"/>
              <w:rPr>
                <w:rFonts w:hint="eastAsia" w:ascii="宋体" w:hAnsi="宋体" w:cs="宋体"/>
                <w:color w:val="auto"/>
                <w:kern w:val="0"/>
                <w:szCs w:val="21"/>
                <w:highlight w:val="none"/>
                <w:lang w:bidi="ar"/>
              </w:rPr>
            </w:pPr>
          </w:p>
        </w:tc>
        <w:tc>
          <w:tcPr>
            <w:tcW w:w="1547" w:type="dxa"/>
            <w:vAlign w:val="top"/>
          </w:tcPr>
          <w:p>
            <w:pPr>
              <w:widowControl/>
              <w:textAlignment w:val="top"/>
              <w:rPr>
                <w:rFonts w:hint="eastAsia" w:ascii="宋体" w:hAnsi="宋体" w:cs="宋体"/>
                <w:color w:val="auto"/>
                <w:kern w:val="0"/>
                <w:szCs w:val="21"/>
                <w:highlight w:val="none"/>
                <w:lang w:bidi="ar"/>
              </w:rPr>
            </w:pPr>
          </w:p>
        </w:tc>
        <w:tc>
          <w:tcPr>
            <w:tcW w:w="1076" w:type="dxa"/>
            <w:vAlign w:val="top"/>
          </w:tcPr>
          <w:p>
            <w:pPr>
              <w:widowControl/>
              <w:textAlignment w:val="top"/>
              <w:rPr>
                <w:rFonts w:hint="eastAsia" w:ascii="宋体" w:hAnsi="宋体" w:cs="宋体"/>
                <w:color w:val="auto"/>
                <w:kern w:val="0"/>
                <w:szCs w:val="21"/>
                <w:highlight w:val="none"/>
                <w:lang w:bidi="ar"/>
              </w:rPr>
            </w:pPr>
          </w:p>
        </w:tc>
      </w:tr>
    </w:tbl>
    <w:p>
      <w:pPr>
        <w:tabs>
          <w:tab w:val="left" w:pos="720"/>
        </w:tabs>
        <w:spacing w:line="340" w:lineRule="exact"/>
        <w:jc w:val="left"/>
        <w:rPr>
          <w:rFonts w:ascii="宋体" w:hAnsi="宋体"/>
          <w:b/>
          <w:bCs/>
          <w:szCs w:val="21"/>
        </w:rPr>
      </w:pPr>
    </w:p>
    <w:p/>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sz w:val="24"/>
        </w:rPr>
        <w:t>（请按用户需求里的商务要求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10"/>
        <w:tblW w:w="10036"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50"/>
        <w:gridCol w:w="5165"/>
        <w:gridCol w:w="123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35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5165"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szCs w:val="21"/>
                <w:lang w:val="en-US" w:eastAsia="zh-CN"/>
              </w:rPr>
              <w:t>1</w:t>
            </w:r>
          </w:p>
        </w:tc>
        <w:tc>
          <w:tcPr>
            <w:tcW w:w="1350" w:type="dxa"/>
            <w:shd w:val="clear" w:color="000000" w:fill="FFFFFF"/>
            <w:noWrap/>
            <w:vAlign w:val="center"/>
          </w:tcPr>
          <w:p>
            <w:pPr>
              <w:jc w:val="both"/>
              <w:rPr>
                <w:rFonts w:ascii="宋体" w:hAnsi="宋体" w:cs="宋体"/>
                <w:bCs/>
                <w:kern w:val="0"/>
                <w:szCs w:val="21"/>
                <w:lang w:val="zh-CN"/>
              </w:rPr>
            </w:pPr>
            <w:r>
              <w:rPr>
                <w:rFonts w:hint="eastAsia" w:ascii="宋体" w:hAnsi="宋体" w:eastAsia="宋体" w:cs="宋体"/>
                <w:color w:val="0000FF"/>
                <w:sz w:val="21"/>
                <w:szCs w:val="21"/>
              </w:rPr>
              <w:t>标的提供的时间</w:t>
            </w:r>
          </w:p>
        </w:tc>
        <w:tc>
          <w:tcPr>
            <w:tcW w:w="5165" w:type="dxa"/>
            <w:shd w:val="clear" w:color="000000" w:fill="FFFFFF"/>
            <w:noWrap/>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highlight w:val="none"/>
              </w:rPr>
              <w:t>中标人应当在中标通知书发出之日起30日内按招标文件及中标人的投标文件确定的事项与采购人签订合同，签订合同后30日内完成设备的安装调试。合同设备交付时中标人应提供合同设备真实有效的生产日期，且保证合同设备的生产日期距交付时的时间差不超过12个月。</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szCs w:val="21"/>
                <w:lang w:val="en-US" w:eastAsia="zh-CN"/>
              </w:rPr>
              <w:t>2</w:t>
            </w:r>
          </w:p>
        </w:tc>
        <w:tc>
          <w:tcPr>
            <w:tcW w:w="1350" w:type="dxa"/>
            <w:shd w:val="clear" w:color="000000" w:fill="FFFFFF"/>
            <w:noWrap/>
            <w:vAlign w:val="center"/>
          </w:tcPr>
          <w:p>
            <w:pPr>
              <w:jc w:val="both"/>
              <w:rPr>
                <w:rFonts w:ascii="宋体" w:hAnsi="宋体" w:cs="宋体"/>
                <w:bCs/>
                <w:kern w:val="0"/>
                <w:szCs w:val="21"/>
                <w:lang w:val="zh-CN"/>
              </w:rPr>
            </w:pPr>
            <w:r>
              <w:rPr>
                <w:rFonts w:hint="eastAsia" w:ascii="宋体" w:hAnsi="宋体" w:eastAsia="宋体" w:cs="宋体"/>
                <w:color w:val="0000FF"/>
                <w:sz w:val="21"/>
                <w:szCs w:val="21"/>
              </w:rPr>
              <w:t>标的提供的地点</w:t>
            </w:r>
          </w:p>
        </w:tc>
        <w:tc>
          <w:tcPr>
            <w:tcW w:w="5165" w:type="dxa"/>
            <w:shd w:val="clear" w:color="000000" w:fill="FFFFFF"/>
            <w:noWrap/>
            <w:vAlign w:val="center"/>
          </w:tcPr>
          <w:p>
            <w:pPr>
              <w:pStyle w:val="19"/>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highlight w:val="none"/>
              </w:rPr>
              <w:t>采购人指定地点。</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lang w:val="en-US" w:eastAsia="zh-CN"/>
              </w:rPr>
              <w:t>3</w:t>
            </w:r>
          </w:p>
        </w:tc>
        <w:tc>
          <w:tcPr>
            <w:tcW w:w="1350" w:type="dxa"/>
            <w:shd w:val="clear" w:color="000000" w:fill="FFFFFF"/>
            <w:noWrap/>
            <w:vAlign w:val="center"/>
          </w:tcPr>
          <w:p>
            <w:pPr>
              <w:jc w:val="both"/>
              <w:rPr>
                <w:rFonts w:ascii="宋体" w:hAnsi="宋体" w:cs="宋体"/>
                <w:bCs/>
                <w:kern w:val="0"/>
                <w:szCs w:val="21"/>
                <w:lang w:val="zh-CN"/>
              </w:rPr>
            </w:pPr>
            <w:r>
              <w:rPr>
                <w:rFonts w:hint="eastAsia" w:ascii="宋体" w:hAnsi="宋体" w:eastAsia="宋体" w:cs="宋体"/>
                <w:color w:val="0000FF"/>
                <w:sz w:val="21"/>
                <w:szCs w:val="21"/>
              </w:rPr>
              <w:t>投标有效期</w:t>
            </w:r>
          </w:p>
        </w:tc>
        <w:tc>
          <w:tcPr>
            <w:tcW w:w="5165" w:type="dxa"/>
            <w:shd w:val="clear" w:color="000000" w:fill="FFFFFF"/>
            <w:noWrap/>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rPr>
              <w:t>从提交投标（响应）文件的截止之日起90日历天</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lang w:val="en-US" w:eastAsia="zh-CN"/>
              </w:rPr>
              <w:t>4</w:t>
            </w:r>
          </w:p>
        </w:tc>
        <w:tc>
          <w:tcPr>
            <w:tcW w:w="1350" w:type="dxa"/>
            <w:shd w:val="clear" w:color="000000" w:fill="FFFFFF"/>
            <w:noWrap/>
            <w:vAlign w:val="center"/>
          </w:tcPr>
          <w:p>
            <w:pPr>
              <w:jc w:val="both"/>
              <w:rPr>
                <w:rFonts w:ascii="宋体" w:hAnsi="宋体" w:cs="宋体"/>
                <w:bCs/>
                <w:kern w:val="0"/>
                <w:szCs w:val="21"/>
                <w:lang w:val="zh-CN"/>
              </w:rPr>
            </w:pPr>
            <w:r>
              <w:rPr>
                <w:rFonts w:hint="eastAsia" w:ascii="宋体" w:hAnsi="宋体" w:eastAsia="宋体" w:cs="宋体"/>
                <w:color w:val="0000FF"/>
                <w:sz w:val="21"/>
                <w:szCs w:val="21"/>
              </w:rPr>
              <w:t>付款方式</w:t>
            </w:r>
          </w:p>
        </w:tc>
        <w:tc>
          <w:tcPr>
            <w:tcW w:w="5165" w:type="dxa"/>
            <w:shd w:val="clear" w:color="000000" w:fill="FFFFFF"/>
            <w:noWrap/>
            <w:vAlign w:val="center"/>
          </w:tcPr>
          <w:p>
            <w:pPr>
              <w:jc w:val="both"/>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1期：</w:t>
            </w:r>
            <w:r>
              <w:rPr>
                <w:rFonts w:hint="eastAsia" w:ascii="宋体" w:hAnsi="宋体" w:eastAsia="宋体" w:cs="宋体"/>
                <w:color w:val="0000FF"/>
                <w:sz w:val="21"/>
                <w:szCs w:val="21"/>
              </w:rPr>
              <w:t>★合同签订后，采购人预付合同总金额的20％款项，同时中标人须提供相同金额的收款收据</w:t>
            </w:r>
            <w:r>
              <w:rPr>
                <w:rFonts w:hint="eastAsia" w:ascii="宋体" w:hAnsi="宋体" w:eastAsia="宋体" w:cs="宋体"/>
                <w:color w:val="0000FF"/>
                <w:sz w:val="21"/>
                <w:szCs w:val="21"/>
                <w:lang w:eastAsia="zh-CN"/>
              </w:rPr>
              <w:t>。</w:t>
            </w:r>
          </w:p>
          <w:p>
            <w:pPr>
              <w:jc w:val="both"/>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lang w:val="en-US" w:eastAsia="zh-CN"/>
              </w:rPr>
              <w:t>2期：</w:t>
            </w:r>
            <w:r>
              <w:rPr>
                <w:rFonts w:hint="eastAsia" w:ascii="宋体" w:hAnsi="宋体" w:eastAsia="宋体" w:cs="宋体"/>
                <w:color w:val="0000FF"/>
                <w:sz w:val="21"/>
                <w:szCs w:val="21"/>
              </w:rPr>
              <w:t>★中标人按合同协议时间提供设备，并经协议规定的验收机构书面确认验收合格后，开具全额发票，采购人确认发票无误后一个月内支付合同总金额的80％。</w:t>
            </w:r>
            <w:r>
              <w:rPr>
                <w:rFonts w:hint="eastAsia" w:ascii="宋体" w:hAnsi="宋体" w:eastAsia="宋体" w:cs="宋体"/>
                <w:color w:val="0000FF"/>
                <w:sz w:val="21"/>
                <w:szCs w:val="21"/>
                <w:lang w:val="en-US" w:eastAsia="zh-CN"/>
              </w:rPr>
              <w:t>注：</w:t>
            </w:r>
            <w:r>
              <w:rPr>
                <w:rFonts w:hint="eastAsia" w:ascii="宋体" w:hAnsi="宋体" w:eastAsia="宋体" w:cs="宋体"/>
                <w:color w:val="0000FF"/>
                <w:sz w:val="21"/>
                <w:szCs w:val="21"/>
              </w:rPr>
              <w:t>1.本合同的每笔款项以人民币转账方式支付，合同设备到采购人指定地点交付并完成安装，验收合格后，中标人凭：（1）合同；（2）验收调试合格报告（加盖采购人公章）；（3）中标人开具的正式发票（加盖发票专用章）。</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lang w:val="en-US" w:eastAsia="zh-CN"/>
              </w:rPr>
              <w:t>5</w:t>
            </w:r>
          </w:p>
        </w:tc>
        <w:tc>
          <w:tcPr>
            <w:tcW w:w="1350" w:type="dxa"/>
            <w:shd w:val="clear" w:color="000000" w:fill="FFFFFF"/>
            <w:noWrap/>
            <w:vAlign w:val="center"/>
          </w:tcPr>
          <w:p>
            <w:pPr>
              <w:jc w:val="both"/>
              <w:rPr>
                <w:rFonts w:ascii="宋体" w:hAnsi="宋体" w:cs="宋体"/>
                <w:bCs/>
                <w:kern w:val="0"/>
                <w:szCs w:val="21"/>
                <w:lang w:val="zh-CN"/>
              </w:rPr>
            </w:pPr>
            <w:r>
              <w:rPr>
                <w:rFonts w:hint="eastAsia" w:ascii="宋体" w:hAnsi="宋体" w:eastAsia="宋体" w:cs="宋体"/>
                <w:color w:val="0000FF"/>
                <w:sz w:val="21"/>
                <w:szCs w:val="21"/>
              </w:rPr>
              <w:t>验收要求</w:t>
            </w:r>
          </w:p>
        </w:tc>
        <w:tc>
          <w:tcPr>
            <w:tcW w:w="5165" w:type="dxa"/>
            <w:shd w:val="clear" w:color="000000" w:fill="FFFFFF"/>
            <w:noWrap/>
            <w:vAlign w:val="center"/>
          </w:tcPr>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1.中标人须保证中标后所提供的设备为原装、全新合格的产品。</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2.中标人负责派技术人员到现场进行安装调试，直至验收合格，安装调试所需费用应包含在投标总报价内；同时提供培训服务，必须保证需求科室操作人员融会贯通，培训所需费用全部包含在总报价内。</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3.验收方式：按《小榄镇公立医院政府采购和验收办法》。</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4.投标人须要在投标文件做出具承诺函，该承诺函包括但不限于以下内容：承诺中标后须在中标公告发布之日起五个工作日内提供设备制造厂商开具并盖章的合法有效的授权函原件（盖鲜章）、售后服务承诺函原件（盖鲜章）。（投标文件中提供承诺函并加盖投标人盖章）</w:t>
            </w:r>
          </w:p>
          <w:p>
            <w:pPr>
              <w:jc w:val="both"/>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rPr>
              <w:t>5.投标人所投设备属于计量仪器的，需通过具有国家部门颁发专业检测资质证书的第三方计量检测单位检测并提供合格报告。</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color w:val="000000" w:themeColor="text1"/>
                <w:szCs w:val="21"/>
                <w:lang w:val="en-US" w:eastAsia="zh-CN"/>
              </w:rPr>
              <w:t>6</w:t>
            </w:r>
          </w:p>
        </w:tc>
        <w:tc>
          <w:tcPr>
            <w:tcW w:w="1350" w:type="dxa"/>
            <w:shd w:val="clear" w:color="000000" w:fill="FFFFFF"/>
            <w:noWrap/>
            <w:vAlign w:val="center"/>
          </w:tcPr>
          <w:p>
            <w:pPr>
              <w:jc w:val="both"/>
              <w:rPr>
                <w:rFonts w:ascii="宋体" w:hAnsi="宋体" w:cs="宋体"/>
                <w:bCs/>
                <w:kern w:val="0"/>
                <w:szCs w:val="21"/>
                <w:lang w:val="zh-CN"/>
              </w:rPr>
            </w:pPr>
            <w:r>
              <w:rPr>
                <w:rFonts w:hint="eastAsia" w:ascii="宋体" w:hAnsi="宋体" w:eastAsia="宋体" w:cs="宋体"/>
                <w:color w:val="0000FF"/>
                <w:sz w:val="21"/>
                <w:szCs w:val="21"/>
              </w:rPr>
              <w:t>履约保证金</w:t>
            </w:r>
          </w:p>
        </w:tc>
        <w:tc>
          <w:tcPr>
            <w:tcW w:w="5165" w:type="dxa"/>
            <w:shd w:val="clear" w:color="000000" w:fill="FFFFFF"/>
            <w:noWrap/>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lang w:val="en-US" w:eastAsia="zh-CN"/>
              </w:rPr>
              <w:t>无</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szCs w:val="21"/>
                <w:lang w:val="en-US" w:eastAsia="zh-CN"/>
              </w:rPr>
              <w:t>7</w:t>
            </w:r>
          </w:p>
        </w:tc>
        <w:tc>
          <w:tcPr>
            <w:tcW w:w="1350" w:type="dxa"/>
            <w:shd w:val="clear" w:color="000000" w:fill="FFFFFF"/>
            <w:noWrap/>
            <w:vAlign w:val="center"/>
          </w:tcPr>
          <w:p>
            <w:pPr>
              <w:jc w:val="both"/>
              <w:rPr>
                <w:rFonts w:ascii="宋体" w:hAnsi="宋体" w:cs="宋体"/>
                <w:bCs/>
                <w:kern w:val="0"/>
                <w:szCs w:val="21"/>
                <w:lang w:val="zh-CN"/>
              </w:rPr>
            </w:pPr>
            <w:r>
              <w:rPr>
                <w:rFonts w:hint="eastAsia" w:ascii="宋体" w:hAnsi="宋体" w:eastAsia="宋体" w:cs="宋体"/>
                <w:color w:val="0000FF"/>
                <w:sz w:val="21"/>
                <w:szCs w:val="21"/>
              </w:rPr>
              <w:t>其他</w:t>
            </w:r>
          </w:p>
        </w:tc>
        <w:tc>
          <w:tcPr>
            <w:tcW w:w="5165" w:type="dxa"/>
            <w:shd w:val="clear" w:color="000000" w:fill="FFFFFF"/>
            <w:noWrap/>
            <w:vAlign w:val="center"/>
          </w:tcPr>
          <w:p>
            <w:pPr>
              <w:jc w:val="both"/>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1.培训</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1.1中标人提供至少1人次不少于5天标本操作培训，费用含在总报价内。</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1.2根据采购人需要，中标人应能提供4次远程教学服务，费用含在总报价内。</w:t>
            </w:r>
          </w:p>
          <w:p>
            <w:pPr>
              <w:jc w:val="both"/>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2.售后服务要求</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2.1中标人必须在中国境内有售后服务机构，并附有售后服务能力说明。</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★2.2中标人须提供设备原厂质保（设备原厂质量保修范围和保修期）至少为2年。</w:t>
            </w:r>
          </w:p>
          <w:p>
            <w:pPr>
              <w:jc w:val="both"/>
              <w:rPr>
                <w:rFonts w:hint="eastAsia" w:ascii="宋体" w:hAnsi="宋体" w:eastAsia="宋体" w:cs="宋体"/>
                <w:color w:val="0000FF"/>
                <w:sz w:val="21"/>
                <w:szCs w:val="21"/>
              </w:rPr>
            </w:pPr>
            <w:r>
              <w:rPr>
                <w:rFonts w:hint="eastAsia" w:ascii="宋体" w:hAnsi="宋体" w:eastAsia="宋体" w:cs="宋体"/>
                <w:color w:val="0000FF"/>
                <w:sz w:val="21"/>
                <w:szCs w:val="21"/>
              </w:rPr>
              <w:t>2.3在售后期内，中标人在接到用户的维修通知，响应时间为半小时内，工程师到达现场时间为4小时内，排除故障时限为到达现场后8小时内。</w:t>
            </w:r>
          </w:p>
          <w:p>
            <w:pPr>
              <w:jc w:val="both"/>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rPr>
              <w:t>2.4如果产品故障在检修12小时后仍无法排除，中标人应在24小时内提供不低于故障产品规格型号档次的备用产品供采购人使用，直至故障产品修复。</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bl>
    <w:p>
      <w:pPr>
        <w:rPr>
          <w:rFonts w:ascii="宋体" w:hAnsi="宋体"/>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1C2D7"/>
    <w:multiLevelType w:val="singleLevel"/>
    <w:tmpl w:val="3CC1C2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5MjdkNjg2YTgyNDFiOGE5MDU4YjBiNzJiYWU0MDkifQ=="/>
  </w:docVars>
  <w:rsids>
    <w:rsidRoot w:val="0021765C"/>
    <w:rsid w:val="00006B23"/>
    <w:rsid w:val="00101055"/>
    <w:rsid w:val="00172098"/>
    <w:rsid w:val="001A2E0A"/>
    <w:rsid w:val="001C3436"/>
    <w:rsid w:val="00204E07"/>
    <w:rsid w:val="0021765C"/>
    <w:rsid w:val="00293342"/>
    <w:rsid w:val="002D465D"/>
    <w:rsid w:val="0035345C"/>
    <w:rsid w:val="003A3903"/>
    <w:rsid w:val="003F4B3D"/>
    <w:rsid w:val="00411B54"/>
    <w:rsid w:val="00412297"/>
    <w:rsid w:val="00525E5C"/>
    <w:rsid w:val="00527C0D"/>
    <w:rsid w:val="00544162"/>
    <w:rsid w:val="005459E1"/>
    <w:rsid w:val="0063702E"/>
    <w:rsid w:val="00697BB0"/>
    <w:rsid w:val="00714732"/>
    <w:rsid w:val="00743BEA"/>
    <w:rsid w:val="007D0F38"/>
    <w:rsid w:val="00855AB0"/>
    <w:rsid w:val="00857394"/>
    <w:rsid w:val="00857CF3"/>
    <w:rsid w:val="00860BDF"/>
    <w:rsid w:val="00914200"/>
    <w:rsid w:val="009347C6"/>
    <w:rsid w:val="00987B50"/>
    <w:rsid w:val="00997C38"/>
    <w:rsid w:val="009E2D17"/>
    <w:rsid w:val="00A073B6"/>
    <w:rsid w:val="00A25AA4"/>
    <w:rsid w:val="00A84A99"/>
    <w:rsid w:val="00B063B7"/>
    <w:rsid w:val="00B73D92"/>
    <w:rsid w:val="00BA73BA"/>
    <w:rsid w:val="00C404BE"/>
    <w:rsid w:val="00C64DF1"/>
    <w:rsid w:val="00D03E7C"/>
    <w:rsid w:val="00DD5B47"/>
    <w:rsid w:val="00DF2464"/>
    <w:rsid w:val="00E83A0A"/>
    <w:rsid w:val="00ED1DC3"/>
    <w:rsid w:val="00F0449B"/>
    <w:rsid w:val="00F7514F"/>
    <w:rsid w:val="00F77392"/>
    <w:rsid w:val="01C15ED7"/>
    <w:rsid w:val="01E933D0"/>
    <w:rsid w:val="05AE53ED"/>
    <w:rsid w:val="07620875"/>
    <w:rsid w:val="08206FAF"/>
    <w:rsid w:val="088B5442"/>
    <w:rsid w:val="0A1B13A6"/>
    <w:rsid w:val="0C583667"/>
    <w:rsid w:val="0D492691"/>
    <w:rsid w:val="0D55237A"/>
    <w:rsid w:val="0EDA5F4A"/>
    <w:rsid w:val="101B4F71"/>
    <w:rsid w:val="11215D00"/>
    <w:rsid w:val="116F5E3C"/>
    <w:rsid w:val="11BE7D21"/>
    <w:rsid w:val="125151D8"/>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453AE8"/>
    <w:rsid w:val="206831B1"/>
    <w:rsid w:val="23683A18"/>
    <w:rsid w:val="23E7584F"/>
    <w:rsid w:val="268A1BB3"/>
    <w:rsid w:val="2A885D27"/>
    <w:rsid w:val="2AA33888"/>
    <w:rsid w:val="2C6C3AC1"/>
    <w:rsid w:val="2D5D7614"/>
    <w:rsid w:val="2D79575C"/>
    <w:rsid w:val="2E712EDD"/>
    <w:rsid w:val="2EBD544A"/>
    <w:rsid w:val="2F4263DE"/>
    <w:rsid w:val="2F980E41"/>
    <w:rsid w:val="2FB36F7C"/>
    <w:rsid w:val="32A966F2"/>
    <w:rsid w:val="34326E09"/>
    <w:rsid w:val="34AF794B"/>
    <w:rsid w:val="35DF56B3"/>
    <w:rsid w:val="36891F17"/>
    <w:rsid w:val="397337AD"/>
    <w:rsid w:val="39AD7AFB"/>
    <w:rsid w:val="3B150E18"/>
    <w:rsid w:val="3B856185"/>
    <w:rsid w:val="3C2053DE"/>
    <w:rsid w:val="3C5A7ECD"/>
    <w:rsid w:val="3C8138D7"/>
    <w:rsid w:val="3C963008"/>
    <w:rsid w:val="3CF8165C"/>
    <w:rsid w:val="3F196F49"/>
    <w:rsid w:val="407E146F"/>
    <w:rsid w:val="40C43099"/>
    <w:rsid w:val="41B0738E"/>
    <w:rsid w:val="42E42773"/>
    <w:rsid w:val="447A3E90"/>
    <w:rsid w:val="45815466"/>
    <w:rsid w:val="45B122E0"/>
    <w:rsid w:val="47D67E4A"/>
    <w:rsid w:val="48574A53"/>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2D2BA8"/>
    <w:rsid w:val="58591307"/>
    <w:rsid w:val="59480742"/>
    <w:rsid w:val="5CEB018E"/>
    <w:rsid w:val="5D4446FE"/>
    <w:rsid w:val="5E753BD4"/>
    <w:rsid w:val="5EC71180"/>
    <w:rsid w:val="5F580C6B"/>
    <w:rsid w:val="5FA44E0F"/>
    <w:rsid w:val="5FE15E62"/>
    <w:rsid w:val="60182200"/>
    <w:rsid w:val="60872EF7"/>
    <w:rsid w:val="61F160E0"/>
    <w:rsid w:val="63895A12"/>
    <w:rsid w:val="644C371A"/>
    <w:rsid w:val="66AF192B"/>
    <w:rsid w:val="6741119A"/>
    <w:rsid w:val="677850FC"/>
    <w:rsid w:val="6AC879A3"/>
    <w:rsid w:val="6C1727C7"/>
    <w:rsid w:val="6C1D026B"/>
    <w:rsid w:val="6C851FDC"/>
    <w:rsid w:val="6DC1032B"/>
    <w:rsid w:val="6DCA297E"/>
    <w:rsid w:val="6E7D7016"/>
    <w:rsid w:val="6EE6418B"/>
    <w:rsid w:val="6F8010C8"/>
    <w:rsid w:val="6F957CEC"/>
    <w:rsid w:val="6FB54CDB"/>
    <w:rsid w:val="73A94275"/>
    <w:rsid w:val="7547180C"/>
    <w:rsid w:val="79727A43"/>
    <w:rsid w:val="79740B4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c 5"/>
    <w:basedOn w:val="1"/>
    <w:next w:val="1"/>
    <w:qFormat/>
    <w:uiPriority w:val="0"/>
    <w:pPr>
      <w:ind w:left="1680" w:leftChars="800"/>
    </w:pPr>
  </w:style>
  <w:style w:type="paragraph" w:styleId="6">
    <w:name w:val="Plain Text"/>
    <w:basedOn w:val="1"/>
    <w:qFormat/>
    <w:uiPriority w:val="0"/>
    <w:pPr>
      <w:widowControl w:val="0"/>
      <w:jc w:val="both"/>
    </w:pPr>
    <w:rPr>
      <w:rFonts w:ascii="宋体" w:hAnsi="Courier New"/>
      <w:kern w:val="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 w:type="character" w:customStyle="1" w:styleId="17">
    <w:name w:val="font61"/>
    <w:basedOn w:val="12"/>
    <w:qFormat/>
    <w:uiPriority w:val="0"/>
    <w:rPr>
      <w:rFonts w:hint="default" w:ascii="Times New Roman" w:hAnsi="Times New Roman" w:cs="Times New Roman"/>
      <w:color w:val="000000"/>
      <w:sz w:val="28"/>
      <w:szCs w:val="28"/>
      <w:u w:val="none"/>
    </w:rPr>
  </w:style>
  <w:style w:type="character" w:customStyle="1" w:styleId="18">
    <w:name w:val="font51"/>
    <w:basedOn w:val="12"/>
    <w:qFormat/>
    <w:uiPriority w:val="0"/>
    <w:rPr>
      <w:rFonts w:hint="eastAsia" w:ascii="宋体" w:hAnsi="宋体" w:eastAsia="宋体" w:cs="宋体"/>
      <w:color w:val="000000"/>
      <w:sz w:val="28"/>
      <w:szCs w:val="28"/>
      <w:u w:val="none"/>
    </w:rPr>
  </w:style>
  <w:style w:type="paragraph" w:customStyle="1" w:styleId="19">
    <w:name w:val="Plain Text"/>
    <w:basedOn w:val="1"/>
    <w:qFormat/>
    <w:uiPriority w:val="0"/>
    <w:pPr>
      <w:widowControl w:val="0"/>
      <w:jc w:val="both"/>
    </w:pPr>
    <w:rPr>
      <w:rFonts w:ascii="宋体" w:hAnsi="Courier New"/>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C31D3-4BCC-4CD6-97FC-4EB169CB7B80}">
  <ds:schemaRefs/>
</ds:datastoreItem>
</file>

<file path=docProps/app.xml><?xml version="1.0" encoding="utf-8"?>
<Properties xmlns="http://schemas.openxmlformats.org/officeDocument/2006/extended-properties" xmlns:vt="http://schemas.openxmlformats.org/officeDocument/2006/docPropsVTypes">
  <Template>Normal</Template>
  <Pages>10</Pages>
  <Words>6298</Words>
  <Characters>7633</Characters>
  <Lines>14</Lines>
  <Paragraphs>4</Paragraphs>
  <TotalTime>2</TotalTime>
  <ScaleCrop>false</ScaleCrop>
  <LinksUpToDate>false</LinksUpToDate>
  <CharactersWithSpaces>7805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酸小敏</cp:lastModifiedBy>
  <dcterms:modified xsi:type="dcterms:W3CDTF">2022-09-20T07:51:37Z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3E465D5279D54E8C85B8DEAAA68BB77D</vt:lpwstr>
  </property>
</Properties>
</file>