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sz w:val="32"/>
          <w:szCs w:val="32"/>
        </w:rPr>
      </w:pPr>
      <w:r>
        <w:rPr>
          <w:rFonts w:hint="eastAsia"/>
          <w:b/>
          <w:bCs/>
          <w:sz w:val="44"/>
          <w:szCs w:val="44"/>
        </w:rPr>
        <w:t>报价单</w:t>
      </w:r>
    </w:p>
    <w:p>
      <w:pPr>
        <w:spacing w:line="440" w:lineRule="exact"/>
        <w:rPr>
          <w:sz w:val="32"/>
          <w:szCs w:val="32"/>
        </w:rPr>
      </w:pPr>
    </w:p>
    <w:p>
      <w:pPr>
        <w:spacing w:line="440" w:lineRule="exact"/>
        <w:rPr>
          <w:sz w:val="32"/>
          <w:szCs w:val="32"/>
        </w:rPr>
      </w:pPr>
      <w:r>
        <w:rPr>
          <w:rFonts w:hint="eastAsia"/>
          <w:sz w:val="32"/>
          <w:szCs w:val="32"/>
        </w:rPr>
        <w:t>致中山市小榄人民医院：</w:t>
      </w:r>
    </w:p>
    <w:tbl>
      <w:tblPr>
        <w:tblStyle w:val="10"/>
        <w:tblpPr w:leftFromText="180" w:rightFromText="180" w:vertAnchor="text" w:horzAnchor="page" w:tblpX="1299" w:tblpY="584"/>
        <w:tblOverlap w:val="never"/>
        <w:tblW w:w="10049" w:type="dxa"/>
        <w:tblInd w:w="0" w:type="dxa"/>
        <w:tblLayout w:type="fixed"/>
        <w:tblCellMar>
          <w:top w:w="0" w:type="dxa"/>
          <w:left w:w="0" w:type="dxa"/>
          <w:bottom w:w="0" w:type="dxa"/>
          <w:right w:w="0" w:type="dxa"/>
        </w:tblCellMar>
      </w:tblPr>
      <w:tblGrid>
        <w:gridCol w:w="1000"/>
        <w:gridCol w:w="1632"/>
        <w:gridCol w:w="968"/>
        <w:gridCol w:w="1416"/>
        <w:gridCol w:w="885"/>
        <w:gridCol w:w="832"/>
        <w:gridCol w:w="850"/>
        <w:gridCol w:w="1218"/>
        <w:gridCol w:w="1248"/>
      </w:tblGrid>
      <w:tr>
        <w:tblPrEx>
          <w:tblCellMar>
            <w:top w:w="0" w:type="dxa"/>
            <w:left w:w="0" w:type="dxa"/>
            <w:bottom w:w="0" w:type="dxa"/>
            <w:right w:w="0" w:type="dxa"/>
          </w:tblCellMar>
        </w:tblPrEx>
        <w:trPr>
          <w:trHeight w:val="746"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4"/>
              </w:rPr>
            </w:pPr>
            <w:r>
              <w:rPr>
                <w:rFonts w:hint="eastAsia" w:ascii="宋体" w:hAnsi="宋体" w:cs="宋体"/>
                <w:kern w:val="0"/>
                <w:sz w:val="24"/>
              </w:rPr>
              <w:t>序号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名称</w:t>
            </w:r>
          </w:p>
        </w:tc>
        <w:tc>
          <w:tcPr>
            <w:tcW w:w="9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型号</w:t>
            </w:r>
          </w:p>
        </w:tc>
        <w:tc>
          <w:tcPr>
            <w:tcW w:w="14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厂家</w:t>
            </w:r>
            <w:r>
              <w:rPr>
                <w:rStyle w:val="17"/>
                <w:color w:val="auto"/>
                <w:sz w:val="24"/>
                <w:szCs w:val="24"/>
              </w:rPr>
              <w:t>/</w:t>
            </w:r>
            <w:r>
              <w:rPr>
                <w:rStyle w:val="18"/>
                <w:rFonts w:hint="default"/>
                <w:color w:val="auto"/>
                <w:sz w:val="24"/>
                <w:szCs w:val="24"/>
              </w:rPr>
              <w:t>品牌</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产地</w:t>
            </w:r>
          </w:p>
        </w:tc>
        <w:tc>
          <w:tcPr>
            <w:tcW w:w="8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单位</w:t>
            </w:r>
          </w:p>
        </w:tc>
        <w:tc>
          <w:tcPr>
            <w:tcW w:w="8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数量</w:t>
            </w:r>
          </w:p>
        </w:tc>
        <w:tc>
          <w:tcPr>
            <w:tcW w:w="12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单价（元）</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总价（元）</w:t>
            </w:r>
          </w:p>
        </w:tc>
      </w:tr>
      <w:tr>
        <w:tblPrEx>
          <w:tblCellMar>
            <w:top w:w="0" w:type="dxa"/>
            <w:left w:w="0" w:type="dxa"/>
            <w:bottom w:w="0" w:type="dxa"/>
            <w:right w:w="0" w:type="dxa"/>
          </w:tblCellMar>
        </w:tblPrEx>
        <w:trPr>
          <w:trHeight w:val="375" w:hRule="atLeast"/>
        </w:trPr>
        <w:tc>
          <w:tcPr>
            <w:tcW w:w="100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top"/>
              <w:rPr>
                <w:sz w:val="24"/>
              </w:rPr>
            </w:pPr>
            <w:r>
              <w:rPr>
                <w:rFonts w:hint="eastAsia"/>
                <w:sz w:val="24"/>
              </w:rPr>
              <w:t>1</w:t>
            </w:r>
          </w:p>
        </w:tc>
        <w:tc>
          <w:tcPr>
            <w:tcW w:w="1632"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top"/>
              <w:rPr>
                <w:sz w:val="16"/>
              </w:rPr>
            </w:pPr>
            <w:r>
              <w:rPr>
                <w:rFonts w:hint="eastAsia"/>
                <w:sz w:val="16"/>
              </w:rPr>
              <w:t>（按注册证填写）</w:t>
            </w:r>
          </w:p>
        </w:tc>
        <w:tc>
          <w:tcPr>
            <w:tcW w:w="968"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top"/>
              <w:rPr>
                <w:sz w:val="16"/>
              </w:rPr>
            </w:pPr>
            <w:r>
              <w:rPr>
                <w:rFonts w:hint="eastAsia"/>
                <w:sz w:val="16"/>
              </w:rPr>
              <w:t>（按注册证填写）</w:t>
            </w:r>
          </w:p>
        </w:tc>
        <w:tc>
          <w:tcPr>
            <w:tcW w:w="1416"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85"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32"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50"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top"/>
              <w:rPr>
                <w:sz w:val="24"/>
              </w:rPr>
            </w:pPr>
            <w:r>
              <w:rPr>
                <w:rFonts w:hint="eastAsia"/>
                <w:sz w:val="24"/>
              </w:rPr>
              <w:t>1</w:t>
            </w:r>
          </w:p>
        </w:tc>
        <w:tc>
          <w:tcPr>
            <w:tcW w:w="1218"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1248"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r>
      <w:tr>
        <w:tblPrEx>
          <w:tblCellMar>
            <w:top w:w="0" w:type="dxa"/>
            <w:left w:w="0" w:type="dxa"/>
            <w:bottom w:w="0" w:type="dxa"/>
            <w:right w:w="0" w:type="dxa"/>
          </w:tblCellMar>
        </w:tblPrEx>
        <w:trPr>
          <w:trHeight w:val="375" w:hRule="atLeast"/>
        </w:trPr>
        <w:tc>
          <w:tcPr>
            <w:tcW w:w="10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imes New Roman" w:hAnsi="Times New Roman" w:eastAsia="宋体" w:cs="Times New Roman"/>
                <w:kern w:val="2"/>
                <w:sz w:val="24"/>
                <w:szCs w:val="24"/>
                <w:lang w:val="en-US" w:eastAsia="zh-CN" w:bidi="ar-SA"/>
              </w:rPr>
            </w:pPr>
            <w:r>
              <w:rPr>
                <w:rFonts w:hint="eastAsia"/>
                <w:sz w:val="24"/>
                <w:lang w:val="en-US" w:eastAsia="zh-CN"/>
              </w:rPr>
              <w:t>2</w:t>
            </w:r>
          </w:p>
        </w:tc>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imes New Roman" w:hAnsi="Times New Roman" w:eastAsia="宋体" w:cs="Times New Roman"/>
                <w:kern w:val="2"/>
                <w:sz w:val="16"/>
                <w:szCs w:val="24"/>
                <w:lang w:val="en-US" w:eastAsia="zh-CN" w:bidi="ar-SA"/>
              </w:rPr>
            </w:pPr>
            <w:r>
              <w:rPr>
                <w:rFonts w:hint="eastAsia"/>
                <w:sz w:val="16"/>
              </w:rPr>
              <w:t>（按注册证填写）</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imes New Roman" w:hAnsi="Times New Roman" w:eastAsia="宋体" w:cs="Times New Roman"/>
                <w:kern w:val="2"/>
                <w:sz w:val="16"/>
                <w:szCs w:val="24"/>
                <w:lang w:val="en-US" w:eastAsia="zh-CN" w:bidi="ar-SA"/>
              </w:rPr>
            </w:pPr>
            <w:r>
              <w:rPr>
                <w:rFonts w:hint="eastAsia"/>
                <w:sz w:val="16"/>
              </w:rPr>
              <w:t>（按注册证填写）</w:t>
            </w:r>
          </w:p>
        </w:tc>
        <w:tc>
          <w:tcPr>
            <w:tcW w:w="14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Times New Roman" w:hAnsi="Times New Roman" w:eastAsia="宋体" w:cs="Times New Roman"/>
                <w:kern w:val="2"/>
                <w:sz w:val="24"/>
                <w:szCs w:val="24"/>
                <w:lang w:val="en-US" w:eastAsia="zh-CN" w:bidi="ar-SA"/>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Times New Roman" w:hAnsi="Times New Roman" w:eastAsia="宋体" w:cs="Times New Roman"/>
                <w:kern w:val="2"/>
                <w:sz w:val="24"/>
                <w:szCs w:val="24"/>
                <w:lang w:val="en-US" w:eastAsia="zh-CN" w:bidi="ar-SA"/>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Times New Roman" w:hAnsi="Times New Roman" w:eastAsia="宋体" w:cs="Times New Roman"/>
                <w:kern w:val="2"/>
                <w:sz w:val="24"/>
                <w:szCs w:val="24"/>
                <w:lang w:val="en-US" w:eastAsia="zh-CN" w:bidi="ar-SA"/>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ascii="Times New Roman" w:hAnsi="Times New Roman" w:eastAsia="宋体" w:cs="Times New Roman"/>
                <w:kern w:val="2"/>
                <w:sz w:val="24"/>
                <w:szCs w:val="24"/>
                <w:lang w:val="en-US" w:eastAsia="zh-CN" w:bidi="ar-SA"/>
              </w:rPr>
            </w:pPr>
            <w:r>
              <w:rPr>
                <w:rFonts w:hint="eastAsia"/>
                <w:sz w:val="24"/>
              </w:rPr>
              <w:t>1</w:t>
            </w:r>
          </w:p>
        </w:tc>
        <w:tc>
          <w:tcPr>
            <w:tcW w:w="1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Times New Roman" w:hAnsi="Times New Roman" w:eastAsia="宋体" w:cs="Times New Roman"/>
                <w:kern w:val="2"/>
                <w:sz w:val="24"/>
                <w:szCs w:val="24"/>
                <w:lang w:val="en-US" w:eastAsia="zh-CN" w:bidi="ar-SA"/>
              </w:rPr>
            </w:pPr>
          </w:p>
        </w:tc>
        <w:tc>
          <w:tcPr>
            <w:tcW w:w="12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r>
    </w:tbl>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rPr>
      </w:pPr>
    </w:p>
    <w:p>
      <w:pPr>
        <w:keepNext w:val="0"/>
        <w:keepLines w:val="0"/>
        <w:pageBreakBefore w:val="0"/>
        <w:kinsoku/>
        <w:wordWrap/>
        <w:overflowPunct/>
        <w:topLinePunct w:val="0"/>
        <w:autoSpaceDE/>
        <w:autoSpaceDN/>
        <w:bidi w:val="0"/>
        <w:adjustRightInd w:val="0"/>
        <w:snapToGrid w:val="0"/>
        <w:spacing w:line="240" w:lineRule="auto"/>
        <w:rPr>
          <w:sz w:val="28"/>
          <w:szCs w:val="28"/>
        </w:rPr>
      </w:pPr>
      <w:r>
        <w:rPr>
          <w:rFonts w:hint="eastAsia"/>
          <w:sz w:val="28"/>
          <w:szCs w:val="28"/>
        </w:rPr>
        <w:t>1、以上设备提供原厂</w:t>
      </w:r>
      <w:r>
        <w:rPr>
          <w:rFonts w:hint="eastAsia"/>
          <w:sz w:val="28"/>
          <w:szCs w:val="28"/>
          <w:u w:val="single"/>
        </w:rPr>
        <w:t xml:space="preserve">     </w:t>
      </w:r>
      <w:r>
        <w:rPr>
          <w:rFonts w:hint="eastAsia"/>
          <w:sz w:val="28"/>
          <w:szCs w:val="28"/>
        </w:rPr>
        <w:t>年质保。</w:t>
      </w:r>
    </w:p>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rPr>
      </w:pPr>
    </w:p>
    <w:p>
      <w:pPr>
        <w:keepNext w:val="0"/>
        <w:keepLines w:val="0"/>
        <w:pageBreakBefore w:val="0"/>
        <w:kinsoku/>
        <w:wordWrap/>
        <w:overflowPunct/>
        <w:topLinePunct w:val="0"/>
        <w:autoSpaceDE/>
        <w:autoSpaceDN/>
        <w:bidi w:val="0"/>
        <w:adjustRightInd w:val="0"/>
        <w:snapToGrid w:val="0"/>
        <w:spacing w:line="240" w:lineRule="auto"/>
        <w:rPr>
          <w:sz w:val="28"/>
          <w:szCs w:val="28"/>
        </w:rPr>
      </w:pPr>
      <w:r>
        <w:rPr>
          <w:rFonts w:hint="eastAsia"/>
          <w:sz w:val="28"/>
          <w:szCs w:val="28"/>
        </w:rPr>
        <w:t>2、配件、耗材报价（如有请详细列出来）：</w:t>
      </w:r>
    </w:p>
    <w:tbl>
      <w:tblPr>
        <w:tblStyle w:val="10"/>
        <w:tblpPr w:leftFromText="180" w:rightFromText="180" w:vertAnchor="text" w:horzAnchor="page" w:tblpX="792" w:tblpY="355"/>
        <w:tblOverlap w:val="never"/>
        <w:tblW w:w="10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184"/>
        <w:gridCol w:w="1066"/>
        <w:gridCol w:w="867"/>
        <w:gridCol w:w="1350"/>
        <w:gridCol w:w="750"/>
        <w:gridCol w:w="783"/>
        <w:gridCol w:w="900"/>
        <w:gridCol w:w="717"/>
        <w:gridCol w:w="1417"/>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bookmarkStart w:id="0" w:name="OLE_LINK1"/>
            <w:r>
              <w:rPr>
                <w:rFonts w:hint="eastAsia" w:ascii="宋体" w:hAnsi="宋体" w:eastAsia="宋体" w:cs="宋体"/>
                <w:i w:val="0"/>
                <w:iCs w:val="0"/>
                <w:color w:val="000000"/>
                <w:kern w:val="0"/>
                <w:sz w:val="24"/>
                <w:szCs w:val="24"/>
                <w:u w:val="none"/>
                <w:lang w:val="en-US" w:eastAsia="zh-CN" w:bidi="ar"/>
              </w:rPr>
              <w:t>药交ID</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国家医保耗材代码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医疗器械注册证号</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耗材/试剂/消耗品/配件</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是否专机专用</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是否可收费</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联盟区/省平台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供应商报价（如果在联盟区，报价不得高于联盟区限价）</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2068328</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C1701082160600006251</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辐照生物敷料</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0.5-7鼓(100mmx200mm/鼓)</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300 </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低温储存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自行添加</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kern w:val="0"/>
                <w:sz w:val="24"/>
                <w:szCs w:val="24"/>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bookmarkEnd w:id="0"/>
    </w:tbl>
    <w:p>
      <w:pPr>
        <w:jc w:val="right"/>
        <w:rPr>
          <w:sz w:val="28"/>
          <w:szCs w:val="28"/>
        </w:rPr>
      </w:pPr>
      <w:r>
        <w:rPr>
          <w:rFonts w:hint="eastAsia"/>
          <w:sz w:val="28"/>
          <w:szCs w:val="28"/>
        </w:rPr>
        <w:t xml:space="preserve">                           报价公司（盖章）：</w:t>
      </w:r>
    </w:p>
    <w:p>
      <w:pPr>
        <w:ind w:firstLine="5320" w:firstLineChars="1900"/>
        <w:jc w:val="right"/>
        <w:rPr>
          <w:sz w:val="28"/>
          <w:szCs w:val="28"/>
        </w:rPr>
      </w:pPr>
      <w:r>
        <w:rPr>
          <w:rFonts w:hint="eastAsia"/>
          <w:sz w:val="28"/>
          <w:szCs w:val="28"/>
        </w:rPr>
        <w:t>报价联系人：</w:t>
      </w:r>
    </w:p>
    <w:p>
      <w:pPr>
        <w:jc w:val="right"/>
        <w:rPr>
          <w:sz w:val="28"/>
          <w:szCs w:val="28"/>
        </w:rPr>
      </w:pPr>
      <w:r>
        <w:rPr>
          <w:rFonts w:hint="eastAsia"/>
          <w:sz w:val="28"/>
          <w:szCs w:val="28"/>
        </w:rPr>
        <w:t xml:space="preserve">                           联系方式：</w:t>
      </w:r>
    </w:p>
    <w:p>
      <w:pPr>
        <w:jc w:val="right"/>
        <w:rPr>
          <w:sz w:val="28"/>
          <w:szCs w:val="28"/>
        </w:rPr>
      </w:pPr>
      <w:r>
        <w:rPr>
          <w:rFonts w:hint="eastAsia"/>
          <w:sz w:val="28"/>
          <w:szCs w:val="28"/>
        </w:rPr>
        <w:t xml:space="preserve">                       邮箱：</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sz w:val="28"/>
          <w:szCs w:val="28"/>
          <w:lang w:eastAsia="zh-CN"/>
        </w:rPr>
      </w:pPr>
      <w:r>
        <w:rPr>
          <w:rFonts w:hint="eastAsia"/>
          <w:sz w:val="28"/>
          <w:szCs w:val="28"/>
        </w:rPr>
        <w:t xml:space="preserve">                           报价时间</w:t>
      </w:r>
      <w:r>
        <w:rPr>
          <w:rFonts w:hint="eastAsia"/>
          <w:sz w:val="28"/>
          <w:szCs w:val="28"/>
          <w:lang w:eastAsia="zh-CN"/>
        </w:rPr>
        <w:t>：</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sz w:val="24"/>
        </w:rPr>
      </w:pPr>
      <w:r>
        <w:rPr>
          <w:rFonts w:hint="eastAsia"/>
          <w:sz w:val="24"/>
        </w:rPr>
        <w:t>报价供应商须同时提供以下资料：</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宋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sz w:val="24"/>
        </w:rPr>
        <w:t>推荐产品的彩页、产品参数及配置清单、参数偏离情况表、医疗器械注册证、供应商证件、厂家证件、代理商授权书、销售人（授权代表）授权书、厂家售后服务承诺书、广东地区三甲医院客户名单（销售合同）</w:t>
      </w:r>
      <w:r>
        <w:rPr>
          <w:rFonts w:hint="eastAsia"/>
          <w:b/>
          <w:sz w:val="24"/>
          <w:lang w:val="en-US" w:eastAsia="zh-CN"/>
        </w:rPr>
        <w:t>等。</w:t>
      </w:r>
    </w:p>
    <w:p>
      <w:pPr>
        <w:spacing w:line="440" w:lineRule="exact"/>
        <w:jc w:val="center"/>
        <w:rPr>
          <w:b/>
          <w:sz w:val="32"/>
          <w:szCs w:val="32"/>
        </w:rPr>
      </w:pPr>
      <w:r>
        <w:rPr>
          <w:rFonts w:hint="eastAsia"/>
          <w:b/>
          <w:sz w:val="32"/>
          <w:szCs w:val="32"/>
        </w:rPr>
        <w:t>参数偏离情况表</w:t>
      </w:r>
    </w:p>
    <w:p>
      <w:pPr>
        <w:spacing w:line="440" w:lineRule="exact"/>
        <w:rPr>
          <w:sz w:val="24"/>
        </w:rPr>
      </w:pPr>
      <w:r>
        <w:rPr>
          <w:rFonts w:hint="eastAsia"/>
          <w:sz w:val="24"/>
        </w:rPr>
        <w:t>偏离表填写要求：</w:t>
      </w:r>
    </w:p>
    <w:p>
      <w:pPr>
        <w:spacing w:line="440" w:lineRule="exact"/>
        <w:rPr>
          <w:sz w:val="24"/>
        </w:rPr>
      </w:pPr>
      <w:r>
        <w:rPr>
          <w:rFonts w:hint="eastAsia"/>
          <w:sz w:val="24"/>
        </w:rPr>
        <w:t>1、请提供参数响应情况，正负偏离参数备注说明。</w:t>
      </w:r>
    </w:p>
    <w:p>
      <w:pPr>
        <w:spacing w:line="440" w:lineRule="exact"/>
        <w:rPr>
          <w:sz w:val="24"/>
        </w:rPr>
      </w:pPr>
      <w:r>
        <w:rPr>
          <w:rFonts w:hint="eastAsia"/>
          <w:sz w:val="24"/>
        </w:rPr>
        <w:t>2、明确写明在各组成部分名称下的主要或重要参数名称及技术参数。</w:t>
      </w:r>
    </w:p>
    <w:p>
      <w:pPr>
        <w:spacing w:line="440" w:lineRule="exact"/>
        <w:rPr>
          <w:sz w:val="24"/>
        </w:rPr>
      </w:pPr>
      <w:r>
        <w:rPr>
          <w:rFonts w:hint="eastAsia" w:ascii="宋体" w:hAnsi="宋体"/>
          <w:sz w:val="24"/>
        </w:rPr>
        <w:t>3、报价应包含完成项目所需的一切费用。</w:t>
      </w:r>
    </w:p>
    <w:p>
      <w:pPr>
        <w:spacing w:line="440" w:lineRule="exact"/>
        <w:rPr>
          <w:sz w:val="24"/>
        </w:rPr>
      </w:pPr>
      <w:r>
        <w:rPr>
          <w:rFonts w:hint="eastAsia"/>
          <w:sz w:val="24"/>
        </w:rPr>
        <w:t>4、提供推荐方案的产品配置清单。</w:t>
      </w:r>
    </w:p>
    <w:p>
      <w:pPr>
        <w:spacing w:line="440" w:lineRule="exact"/>
        <w:rPr>
          <w:sz w:val="24"/>
        </w:rPr>
      </w:pPr>
      <w:r>
        <w:rPr>
          <w:rFonts w:hint="eastAsia"/>
          <w:sz w:val="24"/>
        </w:rPr>
        <w:t>5、其中带★的参数 是必须完全响应的参数。</w:t>
      </w:r>
    </w:p>
    <w:p>
      <w:pPr>
        <w:spacing w:line="440" w:lineRule="exact"/>
        <w:rPr>
          <w:sz w:val="24"/>
        </w:rPr>
      </w:pPr>
      <w:r>
        <w:rPr>
          <w:rFonts w:hint="eastAsia"/>
          <w:sz w:val="24"/>
        </w:rPr>
        <w:t>6、供应商提供的产品负偏离占比不超过10%。</w:t>
      </w:r>
    </w:p>
    <w:p>
      <w:pPr>
        <w:spacing w:line="380" w:lineRule="exact"/>
        <w:rPr>
          <w:rFonts w:ascii="宋体" w:hAnsi="宋体"/>
          <w:szCs w:val="21"/>
        </w:rPr>
      </w:pPr>
    </w:p>
    <w:p>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sz w:val="24"/>
        </w:rPr>
        <w:t>（请按用户需求里的技术要求及配置要求</w:t>
      </w:r>
      <w:r>
        <w:rPr>
          <w:rFonts w:hint="eastAsia" w:asciiTheme="minorEastAsia" w:hAnsiTheme="minorEastAsia" w:eastAsiaTheme="minorEastAsia" w:cstheme="minorEastAsia"/>
          <w:b/>
          <w:bCs/>
          <w:sz w:val="24"/>
        </w:rPr>
        <w:t>逐条</w:t>
      </w:r>
      <w:r>
        <w:rPr>
          <w:rFonts w:hint="eastAsia" w:asciiTheme="minorEastAsia" w:hAnsiTheme="minorEastAsia" w:eastAsiaTheme="minorEastAsia" w:cstheme="minorEastAsia"/>
          <w:sz w:val="24"/>
        </w:rPr>
        <w:t>响应）</w:t>
      </w:r>
    </w:p>
    <w:tbl>
      <w:tblPr>
        <w:tblStyle w:val="11"/>
        <w:tblW w:w="5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5352"/>
        <w:gridCol w:w="148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898" w:type="pct"/>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参数要求</w:t>
            </w:r>
          </w:p>
        </w:tc>
        <w:tc>
          <w:tcPr>
            <w:tcW w:w="804" w:type="pct"/>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hint="eastAsia" w:ascii="宋体" w:hAnsi="宋体" w:eastAsia="宋体" w:cs="宋体"/>
                <w:bCs/>
                <w:kern w:val="0"/>
                <w:sz w:val="21"/>
                <w:szCs w:val="21"/>
                <w:lang w:val="zh-CN" w:eastAsia="zh-CN" w:bidi="ar-SA"/>
              </w:rPr>
            </w:pPr>
            <w:r>
              <w:rPr>
                <w:rFonts w:hint="eastAsia" w:ascii="宋体" w:hAnsi="宋体" w:cs="宋体"/>
                <w:bCs/>
                <w:szCs w:val="21"/>
              </w:rPr>
              <w:t>正/负偏离</w:t>
            </w:r>
          </w:p>
        </w:tc>
        <w:tc>
          <w:tcPr>
            <w:tcW w:w="718" w:type="pct"/>
            <w:vAlign w:val="center"/>
          </w:tcPr>
          <w:p>
            <w:pPr>
              <w:autoSpaceDE w:val="0"/>
              <w:autoSpaceDN w:val="0"/>
              <w:adjustRightInd w:val="0"/>
              <w:spacing w:line="440" w:lineRule="exact"/>
              <w:jc w:val="center"/>
              <w:rPr>
                <w:rFonts w:hint="eastAsia" w:ascii="宋体" w:hAnsi="宋体" w:eastAsia="宋体" w:cs="宋体"/>
                <w:bCs/>
                <w:kern w:val="0"/>
                <w:sz w:val="21"/>
                <w:szCs w:val="21"/>
                <w:lang w:val="zh-CN" w:eastAsia="zh-CN" w:bidi="ar-SA"/>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top"/>
          </w:tcPr>
          <w:p>
            <w:pPr>
              <w:widowControl/>
              <w:textAlignment w:val="top"/>
              <w:rPr>
                <w:rFonts w:hint="eastAsia" w:ascii="宋体" w:hAnsi="宋体" w:cs="宋体"/>
                <w:b/>
                <w:bCs/>
                <w:kern w:val="0"/>
                <w:sz w:val="24"/>
                <w:lang w:bidi="ar"/>
              </w:rPr>
            </w:pPr>
            <w:r>
              <w:rPr>
                <w:rFonts w:hint="eastAsia" w:ascii="仿宋" w:hAnsi="仿宋" w:eastAsia="仿宋" w:cs="仿宋"/>
                <w:color w:val="000000"/>
                <w:sz w:val="24"/>
                <w:highlight w:val="yellow"/>
                <w:lang w:val="en-US" w:eastAsia="zh-CN"/>
              </w:rPr>
              <w:t>包一：</w:t>
            </w:r>
            <w:r>
              <w:rPr>
                <w:rFonts w:hint="eastAsia" w:ascii="仿宋" w:hAnsi="仿宋" w:eastAsia="仿宋" w:cs="仿宋"/>
                <w:color w:val="000000"/>
                <w:sz w:val="24"/>
                <w:highlight w:val="yellow"/>
              </w:rPr>
              <w:t>心电生理多道仪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1</w:t>
            </w:r>
          </w:p>
        </w:tc>
        <w:tc>
          <w:tcPr>
            <w:tcW w:w="2898" w:type="pct"/>
            <w:vAlign w:val="top"/>
          </w:tcPr>
          <w:p>
            <w:pPr>
              <w:spacing w:line="360" w:lineRule="auto"/>
              <w:jc w:val="left"/>
              <w:rPr>
                <w:rFonts w:ascii="仿宋" w:hAnsi="仿宋" w:eastAsia="仿宋" w:cs="仿宋"/>
                <w:bCs/>
                <w:color w:val="000000"/>
                <w:kern w:val="2"/>
                <w:sz w:val="24"/>
                <w:szCs w:val="24"/>
                <w:lang w:val="en-US" w:eastAsia="zh-CN" w:bidi="ar-SA"/>
              </w:rPr>
            </w:pPr>
            <w:r>
              <w:rPr>
                <w:rFonts w:hint="eastAsia" w:ascii="宋体" w:hAnsi="宋体" w:cs="宋体"/>
                <w:bCs/>
                <w:sz w:val="24"/>
              </w:rPr>
              <w:t>体表通道：12道全体表SECG通道。</w:t>
            </w:r>
          </w:p>
        </w:tc>
        <w:tc>
          <w:tcPr>
            <w:tcW w:w="804" w:type="pct"/>
            <w:vAlign w:val="top"/>
          </w:tcPr>
          <w:p>
            <w:pPr>
              <w:widowControl/>
              <w:textAlignment w:val="top"/>
              <w:rPr>
                <w:rFonts w:hint="eastAsia" w:ascii="宋体" w:hAnsi="宋体" w:cs="宋体"/>
                <w:b/>
                <w:bCs/>
                <w:kern w:val="0"/>
                <w:sz w:val="24"/>
                <w:lang w:bidi="ar"/>
              </w:rPr>
            </w:pPr>
          </w:p>
        </w:tc>
        <w:tc>
          <w:tcPr>
            <w:tcW w:w="718" w:type="pct"/>
            <w:vAlign w:val="top"/>
          </w:tcPr>
          <w:p>
            <w:pPr>
              <w:widowControl/>
              <w:textAlignment w:val="top"/>
              <w:rPr>
                <w:rFonts w:hint="eastAsia" w:ascii="宋体" w:hAnsi="宋体" w:cs="宋体"/>
                <w:b/>
                <w:bCs/>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2</w:t>
            </w:r>
          </w:p>
        </w:tc>
        <w:tc>
          <w:tcPr>
            <w:tcW w:w="2898" w:type="pct"/>
            <w:vAlign w:val="top"/>
          </w:tcPr>
          <w:p>
            <w:pPr>
              <w:spacing w:line="360" w:lineRule="auto"/>
              <w:jc w:val="left"/>
              <w:rPr>
                <w:rFonts w:ascii="仿宋" w:hAnsi="仿宋" w:eastAsia="仿宋" w:cs="仿宋"/>
                <w:b/>
                <w:color w:val="000000"/>
                <w:kern w:val="2"/>
                <w:sz w:val="24"/>
                <w:szCs w:val="24"/>
                <w:lang w:val="en-US" w:eastAsia="zh-CN" w:bidi="ar-SA"/>
              </w:rPr>
            </w:pPr>
            <w:r>
              <w:rPr>
                <w:rFonts w:hint="eastAsia" w:ascii="宋体" w:hAnsi="宋体" w:cs="宋体"/>
                <w:bCs/>
                <w:sz w:val="22"/>
                <w:szCs w:val="21"/>
              </w:rPr>
              <w:t>心内通道单极和双极各≥6</w:t>
            </w:r>
            <w:r>
              <w:rPr>
                <w:rFonts w:ascii="宋体" w:hAnsi="宋体" w:cs="宋体"/>
                <w:bCs/>
                <w:sz w:val="22"/>
                <w:szCs w:val="21"/>
              </w:rPr>
              <w:t>4</w:t>
            </w:r>
            <w:r>
              <w:rPr>
                <w:rFonts w:hint="eastAsia" w:ascii="宋体" w:hAnsi="宋体" w:cs="宋体"/>
                <w:bCs/>
                <w:sz w:val="22"/>
                <w:szCs w:val="21"/>
              </w:rPr>
              <w:t>道</w:t>
            </w:r>
            <w:r>
              <w:rPr>
                <w:rFonts w:hint="eastAsia" w:ascii="宋体" w:hAnsi="宋体" w:cs="宋体"/>
                <w:bCs/>
                <w:sz w:val="24"/>
              </w:rPr>
              <w:t>。</w:t>
            </w:r>
          </w:p>
        </w:tc>
        <w:tc>
          <w:tcPr>
            <w:tcW w:w="804" w:type="pct"/>
            <w:vAlign w:val="top"/>
          </w:tcPr>
          <w:p>
            <w:pPr>
              <w:widowControl/>
              <w:textAlignment w:val="top"/>
              <w:rPr>
                <w:rFonts w:hint="eastAsia" w:ascii="宋体" w:hAnsi="宋体" w:cs="宋体"/>
                <w:b/>
                <w:bCs/>
                <w:kern w:val="0"/>
                <w:sz w:val="24"/>
                <w:lang w:bidi="ar"/>
              </w:rPr>
            </w:pPr>
          </w:p>
        </w:tc>
        <w:tc>
          <w:tcPr>
            <w:tcW w:w="718" w:type="pct"/>
            <w:vAlign w:val="top"/>
          </w:tcPr>
          <w:p>
            <w:pPr>
              <w:widowControl/>
              <w:textAlignment w:val="top"/>
              <w:rPr>
                <w:rFonts w:hint="eastAsia" w:ascii="宋体" w:hAnsi="宋体" w:cs="宋体"/>
                <w:b/>
                <w:bCs/>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3</w:t>
            </w:r>
          </w:p>
        </w:tc>
        <w:tc>
          <w:tcPr>
            <w:tcW w:w="2898" w:type="pct"/>
            <w:vAlign w:val="top"/>
          </w:tcPr>
          <w:p>
            <w:pPr>
              <w:spacing w:line="440" w:lineRule="exact"/>
              <w:jc w:val="left"/>
              <w:rPr>
                <w:rFonts w:ascii="仿宋" w:hAnsi="仿宋" w:eastAsia="仿宋" w:cs="仿宋"/>
                <w:b/>
                <w:color w:val="000000"/>
                <w:kern w:val="2"/>
                <w:sz w:val="24"/>
                <w:szCs w:val="24"/>
                <w:lang w:val="en-US" w:eastAsia="zh-CN" w:bidi="ar-SA"/>
              </w:rPr>
            </w:pPr>
            <w:r>
              <w:rPr>
                <w:rFonts w:hint="eastAsia" w:ascii="宋体" w:hAnsi="宋体" w:cs="宋体"/>
                <w:bCs/>
                <w:sz w:val="24"/>
              </w:rPr>
              <w:t>有创血压BP通道≥4道。</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4</w:t>
            </w:r>
          </w:p>
        </w:tc>
        <w:tc>
          <w:tcPr>
            <w:tcW w:w="2898" w:type="pct"/>
            <w:vAlign w:val="center"/>
          </w:tcPr>
          <w:p>
            <w:pPr>
              <w:jc w:val="left"/>
              <w:rPr>
                <w:rFonts w:ascii="Times New Roman" w:hAnsi="Times New Roman" w:eastAsia="宋体" w:cs="Times New Roman"/>
                <w:kern w:val="2"/>
                <w:sz w:val="21"/>
                <w:szCs w:val="24"/>
                <w:lang w:val="en-US" w:eastAsia="zh-CN" w:bidi="ar-SA"/>
              </w:rPr>
            </w:pPr>
            <w:r>
              <w:rPr>
                <w:rFonts w:hint="eastAsia" w:ascii="宋体" w:hAnsi="宋体" w:cs="宋体"/>
                <w:bCs/>
                <w:sz w:val="24"/>
              </w:rPr>
              <w:t>刺激通道任意心内通道输出。</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5</w:t>
            </w:r>
          </w:p>
        </w:tc>
        <w:tc>
          <w:tcPr>
            <w:tcW w:w="2898" w:type="pct"/>
            <w:vAlign w:val="top"/>
          </w:tcPr>
          <w:p>
            <w:pPr>
              <w:spacing w:line="360" w:lineRule="auto"/>
              <w:jc w:val="left"/>
              <w:rPr>
                <w:rFonts w:ascii="仿宋" w:hAnsi="仿宋" w:eastAsia="仿宋" w:cs="仿宋"/>
                <w:b/>
                <w:color w:val="000000"/>
                <w:kern w:val="2"/>
                <w:sz w:val="24"/>
                <w:szCs w:val="24"/>
                <w:lang w:val="en-US" w:eastAsia="zh-CN" w:bidi="ar-SA"/>
              </w:rPr>
            </w:pPr>
            <w:r>
              <w:rPr>
                <w:rFonts w:hint="eastAsia" w:ascii="宋体" w:hAnsi="宋体"/>
                <w:bCs/>
                <w:kern w:val="0"/>
                <w:sz w:val="24"/>
              </w:rPr>
              <w:t>有体表12选1信号模拟输出功能。</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6</w:t>
            </w:r>
          </w:p>
        </w:tc>
        <w:tc>
          <w:tcPr>
            <w:tcW w:w="2898" w:type="pct"/>
            <w:vAlign w:val="top"/>
          </w:tcPr>
          <w:p>
            <w:pPr>
              <w:spacing w:line="360" w:lineRule="auto"/>
              <w:jc w:val="left"/>
              <w:rPr>
                <w:rFonts w:hint="eastAsia" w:ascii="宋体" w:hAnsi="宋体" w:eastAsia="宋体" w:cs="Times New Roman"/>
                <w:bCs/>
                <w:kern w:val="0"/>
                <w:sz w:val="24"/>
                <w:szCs w:val="24"/>
                <w:lang w:val="en-US" w:eastAsia="zh-CN" w:bidi="ar-SA"/>
              </w:rPr>
            </w:pPr>
            <w:r>
              <w:rPr>
                <w:rFonts w:hint="eastAsia" w:ascii="宋体" w:hAnsi="宋体" w:cs="宋体"/>
                <w:bCs/>
                <w:sz w:val="22"/>
                <w:szCs w:val="21"/>
              </w:rPr>
              <w:t>高通滤波：多档可选；低通滤波：多档可选，</w:t>
            </w:r>
            <w:r>
              <w:rPr>
                <w:rFonts w:hint="eastAsia" w:ascii="宋体" w:hAnsi="宋体"/>
                <w:sz w:val="22"/>
                <w:szCs w:val="21"/>
              </w:rPr>
              <w:t>高通滤波0.</w:t>
            </w:r>
            <w:r>
              <w:rPr>
                <w:rFonts w:ascii="宋体" w:hAnsi="宋体"/>
                <w:sz w:val="22"/>
                <w:szCs w:val="21"/>
              </w:rPr>
              <w:t>05</w:t>
            </w:r>
            <w:r>
              <w:rPr>
                <w:rFonts w:hint="eastAsia" w:ascii="宋体" w:hAnsi="宋体"/>
                <w:sz w:val="22"/>
                <w:szCs w:val="21"/>
              </w:rPr>
              <w:t>、0</w:t>
            </w:r>
            <w:r>
              <w:rPr>
                <w:rFonts w:ascii="宋体" w:hAnsi="宋体"/>
                <w:sz w:val="22"/>
                <w:szCs w:val="21"/>
              </w:rPr>
              <w:t>.5</w:t>
            </w:r>
            <w:r>
              <w:rPr>
                <w:rFonts w:hint="eastAsia" w:ascii="宋体" w:hAnsi="宋体"/>
                <w:sz w:val="22"/>
                <w:szCs w:val="21"/>
              </w:rPr>
              <w:t>、1、1</w:t>
            </w:r>
            <w:r>
              <w:rPr>
                <w:rFonts w:ascii="宋体" w:hAnsi="宋体"/>
                <w:sz w:val="22"/>
                <w:szCs w:val="21"/>
              </w:rPr>
              <w:t>0</w:t>
            </w:r>
            <w:r>
              <w:rPr>
                <w:rFonts w:hint="eastAsia" w:ascii="宋体" w:hAnsi="宋体"/>
                <w:sz w:val="22"/>
                <w:szCs w:val="21"/>
              </w:rPr>
              <w:t>、20、30、40、60、80、100</w:t>
            </w:r>
            <w:r>
              <w:rPr>
                <w:rFonts w:hint="eastAsia" w:ascii="宋体" w:hAnsi="宋体"/>
                <w:caps/>
                <w:sz w:val="22"/>
                <w:szCs w:val="21"/>
              </w:rPr>
              <w:t>H</w:t>
            </w:r>
            <w:r>
              <w:rPr>
                <w:rFonts w:hint="eastAsia" w:ascii="宋体" w:hAnsi="宋体"/>
                <w:sz w:val="22"/>
                <w:szCs w:val="21"/>
              </w:rPr>
              <w:t>z；低通滤波1</w:t>
            </w:r>
            <w:r>
              <w:rPr>
                <w:rFonts w:ascii="宋体" w:hAnsi="宋体"/>
                <w:sz w:val="22"/>
                <w:szCs w:val="21"/>
              </w:rPr>
              <w:t>00</w:t>
            </w:r>
            <w:r>
              <w:rPr>
                <w:rFonts w:hint="eastAsia" w:ascii="宋体" w:hAnsi="宋体"/>
                <w:sz w:val="22"/>
                <w:szCs w:val="21"/>
              </w:rPr>
              <w:t>、1</w:t>
            </w:r>
            <w:r>
              <w:rPr>
                <w:rFonts w:ascii="宋体" w:hAnsi="宋体"/>
                <w:sz w:val="22"/>
                <w:szCs w:val="21"/>
              </w:rPr>
              <w:t>50</w:t>
            </w:r>
            <w:r>
              <w:rPr>
                <w:rFonts w:hint="eastAsia" w:ascii="宋体" w:hAnsi="宋体"/>
                <w:sz w:val="22"/>
                <w:szCs w:val="21"/>
              </w:rPr>
              <w:t xml:space="preserve">、200、400、600、800、1200 </w:t>
            </w:r>
            <w:r>
              <w:rPr>
                <w:rFonts w:hint="eastAsia" w:ascii="宋体" w:hAnsi="宋体"/>
                <w:caps/>
                <w:sz w:val="22"/>
                <w:szCs w:val="21"/>
              </w:rPr>
              <w:t>H</w:t>
            </w:r>
            <w:r>
              <w:rPr>
                <w:rFonts w:hint="eastAsia" w:ascii="宋体" w:hAnsi="宋体"/>
                <w:sz w:val="22"/>
                <w:szCs w:val="21"/>
              </w:rPr>
              <w:t>z.</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w:t>
            </w:r>
          </w:p>
        </w:tc>
        <w:tc>
          <w:tcPr>
            <w:tcW w:w="2898" w:type="pct"/>
            <w:vAlign w:val="top"/>
          </w:tcPr>
          <w:p>
            <w:pPr>
              <w:spacing w:line="360" w:lineRule="auto"/>
              <w:jc w:val="left"/>
              <w:rPr>
                <w:rFonts w:hint="eastAsia" w:ascii="宋体" w:hAnsi="宋体" w:eastAsia="宋体" w:cs="Times New Roman"/>
                <w:bCs/>
                <w:kern w:val="0"/>
                <w:sz w:val="24"/>
                <w:szCs w:val="24"/>
                <w:lang w:val="en-US" w:eastAsia="zh-CN" w:bidi="ar-SA"/>
              </w:rPr>
            </w:pPr>
            <w:r>
              <w:rPr>
                <w:rFonts w:hint="eastAsia" w:ascii="宋体" w:hAnsi="宋体"/>
                <w:sz w:val="24"/>
              </w:rPr>
              <w:t>滤波方式：</w:t>
            </w:r>
            <w:r>
              <w:rPr>
                <w:rFonts w:hint="eastAsia" w:ascii="宋体" w:hAnsi="宋体" w:cs="宋体"/>
                <w:bCs/>
                <w:color w:val="000000"/>
                <w:kern w:val="0"/>
                <w:sz w:val="24"/>
              </w:rPr>
              <w:t>可对任意导联单独进行自适应、50Hz滤波开关设置。</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8</w:t>
            </w:r>
          </w:p>
        </w:tc>
        <w:tc>
          <w:tcPr>
            <w:tcW w:w="2898" w:type="pct"/>
            <w:vAlign w:val="top"/>
          </w:tcPr>
          <w:p>
            <w:pPr>
              <w:spacing w:line="360" w:lineRule="auto"/>
              <w:jc w:val="left"/>
              <w:rPr>
                <w:rFonts w:hint="eastAsia" w:ascii="宋体" w:hAnsi="宋体" w:eastAsia="宋体" w:cs="Times New Roman"/>
                <w:bCs/>
                <w:kern w:val="0"/>
                <w:sz w:val="24"/>
                <w:szCs w:val="24"/>
                <w:lang w:val="en-US" w:eastAsia="zh-CN" w:bidi="ar-SA"/>
              </w:rPr>
            </w:pPr>
            <w:r>
              <w:rPr>
                <w:rFonts w:hint="eastAsia" w:ascii="宋体" w:hAnsi="宋体"/>
                <w:bCs/>
                <w:kern w:val="0"/>
                <w:sz w:val="24"/>
              </w:rPr>
              <w:t>▲</w:t>
            </w:r>
            <w:r>
              <w:rPr>
                <w:rFonts w:hint="eastAsia" w:ascii="宋体" w:hAnsi="宋体"/>
                <w:sz w:val="24"/>
              </w:rPr>
              <w:t>外刺激输入通道</w:t>
            </w:r>
            <w:r>
              <w:rPr>
                <w:rFonts w:hint="eastAsia" w:ascii="宋体" w:hAnsi="宋体" w:cs="宋体"/>
                <w:bCs/>
                <w:sz w:val="24"/>
              </w:rPr>
              <w:t>≥2道。</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9</w:t>
            </w:r>
          </w:p>
        </w:tc>
        <w:tc>
          <w:tcPr>
            <w:tcW w:w="2898" w:type="pct"/>
            <w:vAlign w:val="top"/>
          </w:tcPr>
          <w:p>
            <w:pPr>
              <w:spacing w:line="360" w:lineRule="auto"/>
              <w:jc w:val="left"/>
              <w:rPr>
                <w:rFonts w:ascii="仿宋" w:hAnsi="仿宋" w:eastAsia="仿宋" w:cs="仿宋"/>
                <w:b/>
                <w:color w:val="000000"/>
                <w:kern w:val="2"/>
                <w:sz w:val="24"/>
                <w:szCs w:val="24"/>
                <w:lang w:val="en-US" w:eastAsia="zh-CN" w:bidi="ar-SA"/>
              </w:rPr>
            </w:pPr>
            <w:r>
              <w:rPr>
                <w:rFonts w:hint="eastAsia" w:ascii="宋体" w:hAnsi="宋体" w:cs="宋体"/>
                <w:bCs/>
                <w:sz w:val="24"/>
                <w:highlight w:val="yellow"/>
              </w:rPr>
              <w:t>工作站</w:t>
            </w:r>
            <w:r>
              <w:rPr>
                <w:rFonts w:hint="eastAsia" w:ascii="宋体" w:hAnsi="宋体" w:cs="宋体"/>
                <w:bCs/>
                <w:sz w:val="24"/>
              </w:rPr>
              <w:t>：</w:t>
            </w:r>
            <w:r>
              <w:rPr>
                <w:rFonts w:hint="eastAsia" w:ascii="宋体" w:hAnsi="宋体" w:cs="宋体"/>
                <w:bCs/>
                <w:color w:val="000000"/>
                <w:kern w:val="0"/>
                <w:sz w:val="24"/>
              </w:rPr>
              <w:t>CPU双核3.6、内存</w:t>
            </w:r>
            <w:r>
              <w:rPr>
                <w:rFonts w:hint="eastAsia" w:ascii="宋体" w:hAnsi="宋体"/>
                <w:bCs/>
                <w:color w:val="000000"/>
                <w:sz w:val="24"/>
              </w:rPr>
              <w:t>≥</w:t>
            </w:r>
            <w:r>
              <w:rPr>
                <w:rFonts w:hint="eastAsia" w:ascii="宋体" w:hAnsi="宋体" w:cs="宋体"/>
                <w:bCs/>
                <w:color w:val="000000"/>
                <w:kern w:val="0"/>
                <w:sz w:val="24"/>
              </w:rPr>
              <w:t>8G、硬盘</w:t>
            </w:r>
            <w:r>
              <w:rPr>
                <w:rFonts w:hint="eastAsia" w:ascii="宋体" w:hAnsi="宋体"/>
                <w:bCs/>
                <w:color w:val="000000"/>
                <w:sz w:val="24"/>
              </w:rPr>
              <w:t>≥</w:t>
            </w:r>
            <w:r>
              <w:rPr>
                <w:rFonts w:hint="eastAsia" w:ascii="宋体" w:hAnsi="宋体" w:cs="宋体"/>
                <w:bCs/>
                <w:color w:val="000000"/>
                <w:kern w:val="0"/>
                <w:sz w:val="24"/>
              </w:rPr>
              <w:t>2TB，</w:t>
            </w:r>
            <w:r>
              <w:rPr>
                <w:rFonts w:hint="eastAsia" w:ascii="宋体" w:hAnsi="宋体" w:cs="宋体"/>
                <w:bCs/>
                <w:sz w:val="24"/>
              </w:rPr>
              <w:t>DVD刻录机：4.7GB普通大容量刻录光盘</w:t>
            </w:r>
            <w:r>
              <w:rPr>
                <w:rFonts w:hint="eastAsia" w:ascii="宋体" w:hAnsi="宋体" w:cs="宋体"/>
                <w:bCs/>
                <w:kern w:val="0"/>
                <w:sz w:val="24"/>
              </w:rPr>
              <w:t>。</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10</w:t>
            </w:r>
          </w:p>
        </w:tc>
        <w:tc>
          <w:tcPr>
            <w:tcW w:w="2898" w:type="pct"/>
            <w:vAlign w:val="top"/>
          </w:tcPr>
          <w:p>
            <w:pPr>
              <w:spacing w:line="360" w:lineRule="auto"/>
              <w:jc w:val="left"/>
              <w:rPr>
                <w:rFonts w:hint="eastAsia" w:ascii="宋体" w:hAnsi="宋体" w:eastAsia="宋体" w:cs="宋体"/>
                <w:bCs/>
                <w:kern w:val="2"/>
                <w:sz w:val="24"/>
                <w:szCs w:val="24"/>
                <w:lang w:val="en-US" w:eastAsia="zh-CN" w:bidi="ar-SA"/>
              </w:rPr>
            </w:pPr>
            <w:r>
              <w:rPr>
                <w:rFonts w:hint="eastAsia" w:ascii="宋体" w:hAnsi="宋体" w:cs="宋体"/>
                <w:bCs/>
                <w:sz w:val="24"/>
              </w:rPr>
              <w:t>显示系统：数量3个，尺寸≥22寸，分辨率≥1600*1050及以上。</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11</w:t>
            </w:r>
          </w:p>
        </w:tc>
        <w:tc>
          <w:tcPr>
            <w:tcW w:w="2898" w:type="pct"/>
            <w:vAlign w:val="top"/>
          </w:tcPr>
          <w:p>
            <w:pPr>
              <w:spacing w:line="360" w:lineRule="auto"/>
              <w:jc w:val="left"/>
              <w:rPr>
                <w:rFonts w:hint="eastAsia" w:ascii="宋体" w:hAnsi="宋体" w:eastAsia="宋体" w:cs="宋体"/>
                <w:bCs/>
                <w:kern w:val="2"/>
                <w:sz w:val="24"/>
                <w:szCs w:val="24"/>
                <w:lang w:val="en-US" w:eastAsia="zh-CN" w:bidi="ar-SA"/>
              </w:rPr>
            </w:pPr>
            <w:r>
              <w:rPr>
                <w:rFonts w:hint="eastAsia" w:ascii="宋体" w:hAnsi="宋体"/>
                <w:bCs/>
                <w:kern w:val="0"/>
                <w:sz w:val="24"/>
              </w:rPr>
              <w:t>▲</w:t>
            </w:r>
            <w:r>
              <w:rPr>
                <w:rFonts w:hint="eastAsia" w:ascii="宋体" w:hAnsi="宋体" w:cs="宋体"/>
                <w:bCs/>
                <w:color w:val="000000"/>
                <w:kern w:val="0"/>
                <w:sz w:val="24"/>
              </w:rPr>
              <w:t>具备ABL专用通道接口。</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12</w:t>
            </w:r>
          </w:p>
        </w:tc>
        <w:tc>
          <w:tcPr>
            <w:tcW w:w="2898" w:type="pct"/>
            <w:vAlign w:val="top"/>
          </w:tcPr>
          <w:p>
            <w:pPr>
              <w:spacing w:line="360" w:lineRule="auto"/>
              <w:jc w:val="left"/>
              <w:rPr>
                <w:rFonts w:hint="eastAsia" w:ascii="宋体" w:hAnsi="宋体" w:eastAsia="宋体" w:cs="宋体"/>
                <w:bCs/>
                <w:kern w:val="2"/>
                <w:sz w:val="24"/>
                <w:szCs w:val="24"/>
                <w:lang w:val="en-US" w:eastAsia="zh-CN" w:bidi="ar-SA"/>
              </w:rPr>
            </w:pPr>
            <w:r>
              <w:rPr>
                <w:rFonts w:hint="eastAsia" w:ascii="宋体" w:hAnsi="宋体"/>
                <w:bCs/>
                <w:kern w:val="0"/>
                <w:sz w:val="24"/>
              </w:rPr>
              <w:t>▲具备外刺激仪输入接口。</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13</w:t>
            </w:r>
          </w:p>
        </w:tc>
        <w:tc>
          <w:tcPr>
            <w:tcW w:w="2898" w:type="pct"/>
            <w:vAlign w:val="top"/>
          </w:tcPr>
          <w:p>
            <w:pPr>
              <w:spacing w:line="360" w:lineRule="auto"/>
              <w:jc w:val="left"/>
              <w:rPr>
                <w:rFonts w:hint="eastAsia" w:ascii="宋体" w:hAnsi="宋体" w:eastAsia="宋体" w:cs="宋体"/>
                <w:bCs/>
                <w:kern w:val="2"/>
                <w:sz w:val="24"/>
                <w:szCs w:val="24"/>
                <w:lang w:val="en-US" w:eastAsia="zh-CN" w:bidi="ar-SA"/>
              </w:rPr>
            </w:pPr>
            <w:r>
              <w:rPr>
                <w:rFonts w:hint="eastAsia" w:ascii="宋体" w:hAnsi="宋体"/>
                <w:bCs/>
                <w:kern w:val="0"/>
                <w:szCs w:val="21"/>
              </w:rPr>
              <w:t>▲</w:t>
            </w:r>
            <w:r>
              <w:rPr>
                <w:rFonts w:hint="eastAsia" w:eastAsia="Calibri"/>
                <w:bCs/>
                <w:kern w:val="0"/>
                <w:szCs w:val="21"/>
              </w:rPr>
              <w:t>多道生理记录仪内置恒流刺激仪，具有</w:t>
            </w:r>
            <w:r>
              <w:rPr>
                <w:rFonts w:eastAsia="Calibri"/>
                <w:bCs/>
                <w:kern w:val="0"/>
                <w:szCs w:val="21"/>
              </w:rPr>
              <w:t>S1</w:t>
            </w:r>
            <w:r>
              <w:rPr>
                <w:rFonts w:eastAsia="Calibri"/>
                <w:szCs w:val="21"/>
              </w:rPr>
              <w:t>～S7</w:t>
            </w:r>
            <w:r>
              <w:rPr>
                <w:rFonts w:hint="eastAsia" w:eastAsia="Calibri"/>
                <w:szCs w:val="21"/>
              </w:rPr>
              <w:t>刺激；</w:t>
            </w:r>
            <w:r>
              <w:rPr>
                <w:rFonts w:hint="eastAsia" w:eastAsia="Calibri"/>
                <w:bCs/>
                <w:kern w:val="0"/>
                <w:szCs w:val="21"/>
              </w:rPr>
              <w:t>刺激脉宽：</w:t>
            </w:r>
            <w:r>
              <w:rPr>
                <w:rFonts w:eastAsia="Calibri"/>
                <w:szCs w:val="21"/>
              </w:rPr>
              <w:t>0.1ms～2.5ms</w:t>
            </w:r>
            <w:r>
              <w:rPr>
                <w:rFonts w:hint="eastAsia" w:eastAsia="Calibri"/>
                <w:szCs w:val="21"/>
              </w:rPr>
              <w:t>多档</w:t>
            </w:r>
            <w:r>
              <w:rPr>
                <w:rFonts w:eastAsia="Calibri"/>
                <w:szCs w:val="21"/>
              </w:rPr>
              <w:t>可调</w:t>
            </w:r>
            <w:r>
              <w:rPr>
                <w:rFonts w:hint="eastAsia" w:eastAsia="Calibri"/>
                <w:bCs/>
                <w:kern w:val="0"/>
                <w:szCs w:val="21"/>
              </w:rPr>
              <w:t>；刺激电流：</w:t>
            </w:r>
            <w:r>
              <w:rPr>
                <w:rFonts w:eastAsia="Calibri"/>
                <w:szCs w:val="21"/>
              </w:rPr>
              <w:t>0.1-25mA</w:t>
            </w:r>
            <w:r>
              <w:rPr>
                <w:rFonts w:hint="eastAsia" w:eastAsia="Calibri"/>
                <w:szCs w:val="21"/>
              </w:rPr>
              <w:t>可调</w:t>
            </w:r>
            <w:r>
              <w:rPr>
                <w:rFonts w:hint="eastAsia"/>
                <w:szCs w:val="21"/>
              </w:rPr>
              <w:t>。</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14</w:t>
            </w:r>
          </w:p>
        </w:tc>
        <w:tc>
          <w:tcPr>
            <w:tcW w:w="2898" w:type="pct"/>
            <w:vAlign w:val="top"/>
          </w:tcPr>
          <w:p>
            <w:pPr>
              <w:spacing w:line="360" w:lineRule="auto"/>
              <w:jc w:val="left"/>
              <w:rPr>
                <w:rFonts w:hint="eastAsia" w:ascii="宋体" w:hAnsi="宋体" w:eastAsia="宋体" w:cs="宋体"/>
                <w:bCs/>
                <w:kern w:val="2"/>
                <w:sz w:val="24"/>
                <w:szCs w:val="24"/>
                <w:lang w:val="en-US" w:eastAsia="zh-CN" w:bidi="ar-SA"/>
              </w:rPr>
            </w:pPr>
            <w:r>
              <w:rPr>
                <w:rFonts w:ascii="宋体" w:hAnsi="宋体"/>
                <w:kern w:val="0"/>
                <w:sz w:val="24"/>
              </w:rPr>
              <w:t>▲</w:t>
            </w:r>
            <w:r>
              <w:rPr>
                <w:rFonts w:hint="eastAsia" w:ascii="宋体" w:hAnsi="宋体"/>
                <w:bCs/>
                <w:sz w:val="24"/>
              </w:rPr>
              <w:t>体表共模抑制比≥97dB，心内共模抑制比≥100dB</w:t>
            </w:r>
            <w:r>
              <w:rPr>
                <w:rFonts w:hint="eastAsia" w:ascii="宋体" w:hAnsi="宋体" w:cs="宋体"/>
                <w:bCs/>
                <w:kern w:val="0"/>
                <w:sz w:val="24"/>
              </w:rPr>
              <w:t>。</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15</w:t>
            </w:r>
          </w:p>
        </w:tc>
        <w:tc>
          <w:tcPr>
            <w:tcW w:w="2898" w:type="pct"/>
            <w:vAlign w:val="top"/>
          </w:tcPr>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bCs/>
                <w:kern w:val="0"/>
                <w:sz w:val="24"/>
              </w:rPr>
              <w:t>▲能升级为同一厂家三维标测系统。</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16</w:t>
            </w:r>
          </w:p>
        </w:tc>
        <w:tc>
          <w:tcPr>
            <w:tcW w:w="2898" w:type="pct"/>
            <w:vAlign w:val="top"/>
          </w:tcPr>
          <w:p>
            <w:pPr>
              <w:spacing w:line="360" w:lineRule="auto"/>
              <w:jc w:val="left"/>
              <w:rPr>
                <w:rFonts w:hint="eastAsia" w:ascii="宋体" w:hAnsi="宋体" w:eastAsia="宋体" w:cs="Times New Roman"/>
                <w:bCs/>
                <w:kern w:val="0"/>
                <w:sz w:val="24"/>
                <w:szCs w:val="24"/>
                <w:lang w:val="en-US" w:eastAsia="zh-CN" w:bidi="ar-SA"/>
              </w:rPr>
            </w:pPr>
            <w:r>
              <w:rPr>
                <w:rFonts w:hint="eastAsia" w:ascii="宋体" w:hAnsi="宋体"/>
                <w:bCs/>
                <w:kern w:val="0"/>
                <w:sz w:val="24"/>
              </w:rPr>
              <w:t>▲</w:t>
            </w:r>
            <w:r>
              <w:rPr>
                <w:rFonts w:hint="eastAsia"/>
              </w:rPr>
              <w:t>体表输入阻抗≥1</w:t>
            </w:r>
            <w:r>
              <w:t>0M</w:t>
            </w:r>
            <w:r>
              <w:rPr>
                <w:rFonts w:hint="eastAsia"/>
              </w:rPr>
              <w:t>Ω，心内输入阻抗≥1</w:t>
            </w:r>
            <w:r>
              <w:t>0 M</w:t>
            </w:r>
            <w:r>
              <w:rPr>
                <w:rFonts w:hint="eastAsia"/>
              </w:rPr>
              <w:t>Ω。</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17</w:t>
            </w:r>
          </w:p>
        </w:tc>
        <w:tc>
          <w:tcPr>
            <w:tcW w:w="2898" w:type="pct"/>
            <w:vAlign w:val="top"/>
          </w:tcPr>
          <w:p>
            <w:pPr>
              <w:spacing w:line="400" w:lineRule="exact"/>
              <w:jc w:val="left"/>
              <w:rPr>
                <w:rFonts w:hint="eastAsia" w:ascii="宋体" w:hAnsi="宋体" w:eastAsia="宋体" w:cs="Times New Roman"/>
                <w:b w:val="0"/>
                <w:bCs/>
                <w:color w:val="auto"/>
                <w:kern w:val="0"/>
                <w:sz w:val="24"/>
                <w:szCs w:val="24"/>
                <w:lang w:val="en-US" w:eastAsia="zh-CN" w:bidi="ar-SA"/>
              </w:rPr>
            </w:pPr>
            <w:r>
              <w:rPr>
                <w:rFonts w:hint="eastAsia" w:ascii="宋体" w:hAnsi="宋体" w:cs="宋体"/>
                <w:kern w:val="0"/>
                <w:szCs w:val="21"/>
                <w:highlight w:val="yellow"/>
                <w:lang w:bidi="ar"/>
              </w:rPr>
              <w:t>★</w:t>
            </w:r>
            <w:r>
              <w:rPr>
                <w:rFonts w:hint="eastAsia" w:ascii="仿宋" w:hAnsi="仿宋" w:eastAsia="仿宋" w:cs="仿宋"/>
                <w:b/>
                <w:sz w:val="24"/>
                <w:highlight w:val="yellow"/>
              </w:rPr>
              <w:t>若有配套医用耗材：必须提供国家医保耗材代码，必须提供广东省药品电子交易平台的药交ID和联盟区限价。</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18</w:t>
            </w:r>
          </w:p>
        </w:tc>
        <w:tc>
          <w:tcPr>
            <w:tcW w:w="2898" w:type="pct"/>
            <w:vAlign w:val="top"/>
          </w:tcPr>
          <w:p>
            <w:pPr>
              <w:numPr>
                <w:numId w:val="0"/>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10"/>
              <w:tblW w:w="75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466"/>
              <w:gridCol w:w="123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466"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123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117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4466" w:type="dxa"/>
                  <w:noWrap w:val="0"/>
                  <w:vAlign w:val="top"/>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可移动机架</w:t>
                  </w:r>
                </w:p>
              </w:tc>
              <w:tc>
                <w:tcPr>
                  <w:tcW w:w="1230" w:type="dxa"/>
                  <w:noWrap w:val="0"/>
                  <w:vAlign w:val="top"/>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1</w:t>
                  </w:r>
                </w:p>
              </w:tc>
              <w:tc>
                <w:tcPr>
                  <w:tcW w:w="1170" w:type="dxa"/>
                  <w:noWrap w:val="0"/>
                  <w:vAlign w:val="top"/>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4466" w:type="dxa"/>
                  <w:noWrap w:val="0"/>
                  <w:vAlign w:val="top"/>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highlight w:val="yellow"/>
                    </w:rPr>
                    <w:t>工作站</w:t>
                  </w:r>
                </w:p>
              </w:tc>
              <w:tc>
                <w:tcPr>
                  <w:tcW w:w="1230" w:type="dxa"/>
                  <w:noWrap w:val="0"/>
                  <w:vAlign w:val="top"/>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1</w:t>
                  </w:r>
                </w:p>
              </w:tc>
              <w:tc>
                <w:tcPr>
                  <w:tcW w:w="1170" w:type="dxa"/>
                  <w:noWrap w:val="0"/>
                  <w:vAlign w:val="top"/>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4466" w:type="dxa"/>
                  <w:noWrap w:val="0"/>
                  <w:vAlign w:val="top"/>
                </w:tcPr>
                <w:p>
                  <w:pPr>
                    <w:spacing w:line="440" w:lineRule="exact"/>
                    <w:rPr>
                      <w:rFonts w:ascii="仿宋" w:hAnsi="仿宋" w:eastAsia="仿宋" w:cs="仿宋"/>
                      <w:b/>
                      <w:sz w:val="24"/>
                    </w:rPr>
                  </w:pPr>
                  <w:r>
                    <w:rPr>
                      <w:rFonts w:ascii="仿宋" w:hAnsi="仿宋" w:eastAsia="仿宋" w:cs="仿宋"/>
                      <w:b/>
                      <w:sz w:val="24"/>
                    </w:rPr>
                    <w:t>64</w:t>
                  </w:r>
                  <w:r>
                    <w:rPr>
                      <w:rFonts w:hint="eastAsia" w:ascii="仿宋" w:hAnsi="仿宋" w:eastAsia="仿宋" w:cs="仿宋"/>
                      <w:b/>
                      <w:sz w:val="24"/>
                    </w:rPr>
                    <w:t>通道前置放大器</w:t>
                  </w:r>
                </w:p>
              </w:tc>
              <w:tc>
                <w:tcPr>
                  <w:tcW w:w="1230" w:type="dxa"/>
                  <w:noWrap w:val="0"/>
                  <w:vAlign w:val="top"/>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1</w:t>
                  </w:r>
                </w:p>
              </w:tc>
              <w:tc>
                <w:tcPr>
                  <w:tcW w:w="1170" w:type="dxa"/>
                  <w:noWrap w:val="0"/>
                  <w:vAlign w:val="top"/>
                </w:tcPr>
                <w:p>
                  <w:pPr>
                    <w:spacing w:line="440" w:lineRule="exact"/>
                    <w:rPr>
                      <w:rFonts w:ascii="仿宋" w:hAnsi="仿宋" w:eastAsia="仿宋" w:cs="仿宋"/>
                      <w:b/>
                      <w:color w:val="000000"/>
                      <w:sz w:val="24"/>
                    </w:rPr>
                  </w:pPr>
                  <w:r>
                    <w:rPr>
                      <w:rFonts w:hint="eastAsia" w:ascii="仿宋" w:hAnsi="仿宋" w:eastAsia="仿宋" w:cs="仿宋"/>
                      <w:b/>
                      <w:color w:val="000000"/>
                      <w:sz w:val="24"/>
                    </w:rPr>
                    <w:t>套</w:t>
                  </w:r>
                </w:p>
              </w:tc>
            </w:tr>
          </w:tbl>
          <w:p>
            <w:pPr>
              <w:spacing w:line="400" w:lineRule="exact"/>
              <w:jc w:val="left"/>
              <w:rPr>
                <w:rFonts w:hint="eastAsia" w:ascii="宋体" w:hAnsi="宋体" w:cs="宋体"/>
                <w:kern w:val="0"/>
                <w:szCs w:val="21"/>
                <w:highlight w:val="yellow"/>
                <w:lang w:bidi="ar"/>
              </w:rPr>
            </w:pP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top"/>
          </w:tcPr>
          <w:p>
            <w:pPr>
              <w:widowControl/>
              <w:textAlignment w:val="top"/>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包二</w:t>
            </w:r>
            <w:r>
              <w:rPr>
                <w:rFonts w:hint="eastAsia"/>
                <w:b/>
                <w:bCs/>
                <w:highlight w:val="yellow"/>
              </w:rPr>
              <w:t>心脏射频消融仪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1</w:t>
            </w:r>
          </w:p>
        </w:tc>
        <w:tc>
          <w:tcPr>
            <w:tcW w:w="2898" w:type="pct"/>
            <w:vAlign w:val="top"/>
          </w:tcPr>
          <w:p>
            <w:pPr>
              <w:spacing w:line="400" w:lineRule="exact"/>
              <w:jc w:val="left"/>
              <w:rPr>
                <w:rFonts w:hint="eastAsia" w:ascii="宋体" w:hAnsi="宋体" w:eastAsia="宋体" w:cs="Times New Roman"/>
                <w:bCs/>
                <w:kern w:val="0"/>
                <w:sz w:val="24"/>
                <w:szCs w:val="24"/>
                <w:lang w:val="en-US" w:eastAsia="zh-CN" w:bidi="ar-SA"/>
              </w:rPr>
            </w:pPr>
            <w:r>
              <w:rPr>
                <w:rFonts w:hint="eastAsia" w:ascii="宋体" w:hAnsi="宋体"/>
                <w:szCs w:val="21"/>
              </w:rPr>
              <w:t>电源要求：2</w:t>
            </w:r>
            <w:r>
              <w:rPr>
                <w:rFonts w:ascii="宋体" w:hAnsi="宋体"/>
                <w:szCs w:val="21"/>
              </w:rPr>
              <w:t>20V</w:t>
            </w:r>
            <w:r>
              <w:rPr>
                <w:rFonts w:hint="eastAsia" w:ascii="宋体" w:hAnsi="宋体"/>
                <w:szCs w:val="21"/>
              </w:rPr>
              <w:t>，</w:t>
            </w:r>
            <w:r>
              <w:rPr>
                <w:rFonts w:ascii="宋体" w:hAnsi="宋体"/>
                <w:szCs w:val="21"/>
              </w:rPr>
              <w:t>50HZ/60HZ</w:t>
            </w:r>
            <w:r>
              <w:rPr>
                <w:rFonts w:hint="eastAsia" w:ascii="宋体" w:hAnsi="宋体"/>
                <w:szCs w:val="21"/>
              </w:rPr>
              <w:t>;</w:t>
            </w:r>
            <w:r>
              <w:rPr>
                <w:rFonts w:hint="eastAsia" w:ascii="宋体" w:hAnsi="宋体"/>
                <w:kern w:val="0"/>
                <w:sz w:val="24"/>
              </w:rPr>
              <w:t>功率输出≥75W，</w:t>
            </w:r>
            <w:r>
              <w:rPr>
                <w:rFonts w:hint="eastAsia" w:ascii="宋体" w:hAnsi="宋体"/>
                <w:sz w:val="24"/>
              </w:rPr>
              <w:t>步进为1W。</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2</w:t>
            </w:r>
          </w:p>
        </w:tc>
        <w:tc>
          <w:tcPr>
            <w:tcW w:w="2898" w:type="pct"/>
            <w:vAlign w:val="top"/>
          </w:tcPr>
          <w:p>
            <w:pPr>
              <w:spacing w:line="400" w:lineRule="exact"/>
              <w:jc w:val="left"/>
              <w:rPr>
                <w:rFonts w:hint="eastAsia" w:ascii="宋体" w:hAnsi="宋体" w:eastAsia="宋体" w:cs="Times New Roman"/>
                <w:bCs/>
                <w:kern w:val="0"/>
                <w:sz w:val="24"/>
                <w:szCs w:val="24"/>
                <w:lang w:val="en-US" w:eastAsia="zh-CN" w:bidi="ar-SA"/>
              </w:rPr>
            </w:pPr>
            <w:r>
              <w:rPr>
                <w:rFonts w:hint="eastAsia" w:ascii="宋体" w:hAnsi="宋体"/>
                <w:bCs/>
                <w:kern w:val="0"/>
                <w:sz w:val="24"/>
              </w:rPr>
              <w:t>▲</w:t>
            </w:r>
            <w:r>
              <w:rPr>
                <w:rFonts w:hint="eastAsia" w:ascii="宋体" w:hAnsi="宋体"/>
                <w:kern w:val="0"/>
                <w:sz w:val="24"/>
              </w:rPr>
              <w:t>最小功率能设置为1W。</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3</w:t>
            </w:r>
          </w:p>
        </w:tc>
        <w:tc>
          <w:tcPr>
            <w:tcW w:w="2898" w:type="pct"/>
            <w:vAlign w:val="top"/>
          </w:tcPr>
          <w:p>
            <w:pPr>
              <w:spacing w:line="400" w:lineRule="exact"/>
              <w:jc w:val="left"/>
              <w:rPr>
                <w:rFonts w:hint="eastAsia" w:ascii="宋体" w:hAnsi="宋体" w:eastAsia="宋体" w:cs="Times New Roman"/>
                <w:bCs/>
                <w:kern w:val="0"/>
                <w:sz w:val="24"/>
                <w:szCs w:val="24"/>
                <w:lang w:val="en-US" w:eastAsia="zh-CN" w:bidi="ar-SA"/>
              </w:rPr>
            </w:pPr>
            <w:r>
              <w:rPr>
                <w:rFonts w:hint="eastAsia" w:ascii="宋体" w:hAnsi="宋体"/>
                <w:bCs/>
                <w:kern w:val="0"/>
                <w:sz w:val="24"/>
              </w:rPr>
              <w:t>▲</w:t>
            </w:r>
            <w:r>
              <w:rPr>
                <w:rFonts w:hint="eastAsia" w:ascii="宋体" w:hAnsi="宋体"/>
                <w:kern w:val="0"/>
                <w:sz w:val="24"/>
              </w:rPr>
              <w:t>温度检测范围：30℃～100℃(即可检测的温度最低必须能够达到30度，最高必须能够达到100度)。</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4</w:t>
            </w:r>
          </w:p>
        </w:tc>
        <w:tc>
          <w:tcPr>
            <w:tcW w:w="2898" w:type="pct"/>
            <w:vAlign w:val="top"/>
          </w:tcPr>
          <w:p>
            <w:pPr>
              <w:spacing w:line="400" w:lineRule="exact"/>
              <w:jc w:val="left"/>
              <w:rPr>
                <w:rFonts w:hint="eastAsia" w:ascii="宋体" w:hAnsi="宋体" w:eastAsia="宋体" w:cs="Times New Roman"/>
                <w:bCs/>
                <w:kern w:val="0"/>
                <w:sz w:val="24"/>
                <w:szCs w:val="24"/>
                <w:lang w:val="en-US" w:eastAsia="zh-CN" w:bidi="ar-SA"/>
              </w:rPr>
            </w:pPr>
            <w:r>
              <w:rPr>
                <w:rFonts w:hint="eastAsia" w:ascii="宋体" w:hAnsi="宋体"/>
                <w:kern w:val="0"/>
                <w:sz w:val="24"/>
              </w:rPr>
              <w:t>计时范围：0～9</w:t>
            </w:r>
            <w:r>
              <w:rPr>
                <w:rFonts w:ascii="宋体" w:hAnsi="宋体"/>
                <w:kern w:val="0"/>
                <w:sz w:val="24"/>
              </w:rPr>
              <w:t>99</w:t>
            </w:r>
            <w:r>
              <w:rPr>
                <w:rFonts w:hint="eastAsia" w:ascii="宋体" w:hAnsi="宋体"/>
                <w:kern w:val="0"/>
                <w:sz w:val="24"/>
              </w:rPr>
              <w:t>秒。</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5</w:t>
            </w:r>
          </w:p>
        </w:tc>
        <w:tc>
          <w:tcPr>
            <w:tcW w:w="2898" w:type="pct"/>
            <w:vAlign w:val="top"/>
          </w:tcPr>
          <w:p>
            <w:pPr>
              <w:spacing w:line="400" w:lineRule="exact"/>
              <w:jc w:val="left"/>
              <w:rPr>
                <w:rFonts w:hint="eastAsia" w:ascii="宋体" w:hAnsi="宋体" w:eastAsia="宋体" w:cs="Times New Roman"/>
                <w:bCs/>
                <w:kern w:val="0"/>
                <w:sz w:val="24"/>
                <w:szCs w:val="24"/>
                <w:lang w:val="en-US" w:eastAsia="zh-CN" w:bidi="ar-SA"/>
              </w:rPr>
            </w:pPr>
            <w:r>
              <w:rPr>
                <w:rFonts w:hint="eastAsia" w:ascii="宋体" w:hAnsi="宋体"/>
                <w:bCs/>
                <w:kern w:val="0"/>
                <w:sz w:val="24"/>
              </w:rPr>
              <w:t>▲</w:t>
            </w:r>
            <w:r>
              <w:rPr>
                <w:rFonts w:hint="eastAsia" w:ascii="宋体" w:hAnsi="宋体"/>
                <w:kern w:val="0"/>
                <w:sz w:val="24"/>
              </w:rPr>
              <w:t>阻抗检测范围：30Ω～250Ω(即可检测的阻抗最低必须能够达到30欧，最高必须能够达到250欧)。</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6</w:t>
            </w:r>
          </w:p>
        </w:tc>
        <w:tc>
          <w:tcPr>
            <w:tcW w:w="2898" w:type="pct"/>
            <w:vAlign w:val="top"/>
          </w:tcPr>
          <w:p>
            <w:pPr>
              <w:spacing w:line="400" w:lineRule="exact"/>
              <w:jc w:val="left"/>
              <w:rPr>
                <w:rFonts w:hint="eastAsia" w:ascii="宋体" w:hAnsi="宋体" w:eastAsia="宋体" w:cs="Times New Roman"/>
                <w:bCs/>
                <w:kern w:val="0"/>
                <w:sz w:val="24"/>
                <w:szCs w:val="24"/>
                <w:lang w:val="en-US" w:eastAsia="zh-CN" w:bidi="ar-SA"/>
              </w:rPr>
            </w:pPr>
            <w:r>
              <w:rPr>
                <w:rFonts w:hint="eastAsia" w:ascii="宋体" w:hAnsi="宋体"/>
                <w:bCs/>
                <w:kern w:val="0"/>
                <w:sz w:val="24"/>
              </w:rPr>
              <w:t>▲</w:t>
            </w:r>
            <w:r>
              <w:rPr>
                <w:rFonts w:hint="eastAsia" w:ascii="宋体" w:hAnsi="宋体"/>
                <w:kern w:val="0"/>
                <w:sz w:val="24"/>
              </w:rPr>
              <w:t>低阻抗保护范围：</w:t>
            </w:r>
            <w:r>
              <w:rPr>
                <w:rFonts w:hint="eastAsia" w:ascii="宋体" w:hAnsi="宋体"/>
                <w:sz w:val="24"/>
              </w:rPr>
              <w:t>0</w:t>
            </w:r>
            <w:r>
              <w:rPr>
                <w:rFonts w:hint="eastAsia" w:ascii="宋体" w:hAnsi="宋体"/>
                <w:kern w:val="0"/>
                <w:sz w:val="24"/>
              </w:rPr>
              <w:t>Ω</w:t>
            </w:r>
            <w:r>
              <w:rPr>
                <w:rFonts w:hint="eastAsia" w:ascii="宋体" w:hAnsi="宋体"/>
                <w:sz w:val="24"/>
              </w:rPr>
              <w:t xml:space="preserve">～50 </w:t>
            </w:r>
            <w:r>
              <w:rPr>
                <w:rFonts w:hint="eastAsia" w:ascii="宋体" w:hAnsi="宋体"/>
                <w:kern w:val="0"/>
                <w:sz w:val="24"/>
              </w:rPr>
              <w:t>Ω</w:t>
            </w:r>
            <w:r>
              <w:rPr>
                <w:rFonts w:hint="eastAsia" w:ascii="宋体" w:hAnsi="宋体"/>
                <w:sz w:val="24"/>
              </w:rPr>
              <w:t>，</w:t>
            </w:r>
            <w:r>
              <w:rPr>
                <w:rFonts w:hint="eastAsia" w:ascii="宋体" w:hAnsi="宋体"/>
                <w:kern w:val="0"/>
                <w:sz w:val="24"/>
              </w:rPr>
              <w:t>高阻抗保护范围：</w:t>
            </w:r>
            <w:r>
              <w:rPr>
                <w:rFonts w:hint="eastAsia" w:ascii="宋体" w:hAnsi="宋体"/>
                <w:szCs w:val="21"/>
              </w:rPr>
              <w:t>＞1</w:t>
            </w:r>
            <w:r>
              <w:rPr>
                <w:rFonts w:ascii="宋体" w:hAnsi="宋体"/>
                <w:szCs w:val="21"/>
              </w:rPr>
              <w:t>60</w:t>
            </w:r>
            <w:r>
              <w:rPr>
                <w:rFonts w:hint="eastAsia" w:ascii="宋体" w:hAnsi="宋体"/>
                <w:szCs w:val="21"/>
              </w:rPr>
              <w:t>Ω。</w:t>
            </w:r>
          </w:p>
        </w:tc>
        <w:tc>
          <w:tcPr>
            <w:tcW w:w="804" w:type="pct"/>
            <w:vAlign w:val="top"/>
          </w:tcPr>
          <w:p>
            <w:pPr>
              <w:widowControl/>
              <w:textAlignment w:val="top"/>
              <w:rPr>
                <w:rFonts w:hint="eastAsia" w:ascii="宋体" w:hAnsi="宋体" w:cs="宋体"/>
                <w:kern w:val="0"/>
                <w:sz w:val="24"/>
                <w:lang w:bidi="ar"/>
              </w:rPr>
            </w:pPr>
          </w:p>
        </w:tc>
        <w:tc>
          <w:tcPr>
            <w:tcW w:w="718" w:type="pct"/>
            <w:vAlign w:val="top"/>
          </w:tcPr>
          <w:p>
            <w:pPr>
              <w:widowControl/>
              <w:textAlignment w:val="top"/>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7</w:t>
            </w:r>
          </w:p>
        </w:tc>
        <w:tc>
          <w:tcPr>
            <w:tcW w:w="2898" w:type="pct"/>
            <w:vAlign w:val="top"/>
          </w:tcPr>
          <w:p>
            <w:pPr>
              <w:spacing w:line="400" w:lineRule="exact"/>
              <w:jc w:val="left"/>
              <w:rPr>
                <w:rFonts w:hint="eastAsia" w:ascii="宋体" w:hAnsi="宋体" w:eastAsia="宋体" w:cs="Times New Roman"/>
                <w:bCs/>
                <w:kern w:val="0"/>
                <w:sz w:val="24"/>
                <w:szCs w:val="24"/>
                <w:lang w:val="en-US" w:eastAsia="zh-CN" w:bidi="ar-SA"/>
              </w:rPr>
            </w:pPr>
            <w:r>
              <w:rPr>
                <w:rFonts w:hint="eastAsia" w:ascii="宋体" w:hAnsi="宋体"/>
                <w:kern w:val="0"/>
                <w:sz w:val="24"/>
              </w:rPr>
              <w:t>工作频率：4</w:t>
            </w:r>
            <w:r>
              <w:rPr>
                <w:rFonts w:ascii="宋体" w:hAnsi="宋体"/>
                <w:kern w:val="0"/>
                <w:sz w:val="24"/>
              </w:rPr>
              <w:t>5</w:t>
            </w:r>
            <w:r>
              <w:rPr>
                <w:rFonts w:hint="eastAsia" w:ascii="宋体" w:hAnsi="宋体"/>
                <w:kern w:val="0"/>
                <w:sz w:val="24"/>
              </w:rPr>
              <w:t>0KHz。</w:t>
            </w:r>
          </w:p>
        </w:tc>
        <w:tc>
          <w:tcPr>
            <w:tcW w:w="804" w:type="pct"/>
            <w:vAlign w:val="top"/>
          </w:tcPr>
          <w:p>
            <w:pPr>
              <w:widowControl/>
              <w:textAlignment w:val="top"/>
              <w:rPr>
                <w:rFonts w:hint="eastAsia" w:ascii="宋体" w:hAnsi="宋体" w:cs="宋体"/>
                <w:color w:val="000000"/>
                <w:kern w:val="0"/>
                <w:sz w:val="24"/>
                <w:lang w:bidi="ar"/>
              </w:rPr>
            </w:pPr>
          </w:p>
        </w:tc>
        <w:tc>
          <w:tcPr>
            <w:tcW w:w="718" w:type="pct"/>
            <w:vAlign w:val="top"/>
          </w:tcPr>
          <w:p>
            <w:pPr>
              <w:widowControl/>
              <w:textAlignment w:val="top"/>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8</w:t>
            </w:r>
          </w:p>
        </w:tc>
        <w:tc>
          <w:tcPr>
            <w:tcW w:w="2898" w:type="pct"/>
            <w:vAlign w:val="top"/>
          </w:tcPr>
          <w:p>
            <w:pPr>
              <w:spacing w:line="400" w:lineRule="exact"/>
              <w:jc w:val="left"/>
              <w:rPr>
                <w:rFonts w:hint="eastAsia" w:ascii="宋体" w:hAnsi="宋体" w:eastAsia="宋体" w:cs="Times New Roman"/>
                <w:bCs/>
                <w:kern w:val="0"/>
                <w:sz w:val="24"/>
                <w:szCs w:val="24"/>
                <w:lang w:val="en-US" w:eastAsia="zh-CN" w:bidi="ar-SA"/>
              </w:rPr>
            </w:pPr>
            <w:r>
              <w:rPr>
                <w:rFonts w:hint="eastAsia" w:ascii="宋体" w:hAnsi="宋体"/>
                <w:kern w:val="0"/>
                <w:sz w:val="24"/>
              </w:rPr>
              <w:t>具有抗心脏除颤保护功能</w:t>
            </w:r>
            <w:r>
              <w:rPr>
                <w:rFonts w:hint="eastAsia" w:ascii="宋体" w:hAnsi="宋体"/>
                <w:bCs/>
                <w:kern w:val="0"/>
                <w:sz w:val="24"/>
              </w:rPr>
              <w:t>。</w:t>
            </w:r>
          </w:p>
        </w:tc>
        <w:tc>
          <w:tcPr>
            <w:tcW w:w="804" w:type="pct"/>
            <w:vAlign w:val="top"/>
          </w:tcPr>
          <w:p>
            <w:pPr>
              <w:widowControl/>
              <w:textAlignment w:val="top"/>
              <w:rPr>
                <w:rFonts w:hint="eastAsia" w:ascii="宋体" w:hAnsi="宋体" w:cs="宋体"/>
                <w:color w:val="000000"/>
                <w:kern w:val="0"/>
                <w:sz w:val="24"/>
                <w:lang w:bidi="ar"/>
              </w:rPr>
            </w:pPr>
          </w:p>
        </w:tc>
        <w:tc>
          <w:tcPr>
            <w:tcW w:w="718" w:type="pct"/>
            <w:vAlign w:val="top"/>
          </w:tcPr>
          <w:p>
            <w:pPr>
              <w:widowControl/>
              <w:textAlignment w:val="top"/>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9</w:t>
            </w:r>
          </w:p>
        </w:tc>
        <w:tc>
          <w:tcPr>
            <w:tcW w:w="2898" w:type="pct"/>
            <w:vAlign w:val="top"/>
          </w:tcPr>
          <w:p>
            <w:pPr>
              <w:spacing w:line="400" w:lineRule="exact"/>
              <w:jc w:val="left"/>
              <w:rPr>
                <w:rFonts w:hint="eastAsia" w:ascii="宋体" w:hAnsi="宋体" w:eastAsia="宋体" w:cs="Times New Roman"/>
                <w:kern w:val="0"/>
                <w:sz w:val="24"/>
                <w:szCs w:val="24"/>
                <w:lang w:val="en-US" w:eastAsia="zh-CN" w:bidi="ar-SA"/>
              </w:rPr>
            </w:pPr>
            <w:r>
              <w:rPr>
                <w:rFonts w:hint="eastAsia" w:ascii="宋体" w:hAnsi="宋体"/>
                <w:kern w:val="0"/>
                <w:sz w:val="24"/>
              </w:rPr>
              <w:t>实时检测显示阻抗：在手术全过程中，当仪器连接上消融电极后，仪器将对人体组织的阻抗进行检测。实时显示阻抗，消融时才显示阻抗值将视为不满足要求。</w:t>
            </w:r>
          </w:p>
        </w:tc>
        <w:tc>
          <w:tcPr>
            <w:tcW w:w="804" w:type="pct"/>
            <w:vAlign w:val="top"/>
          </w:tcPr>
          <w:p>
            <w:pPr>
              <w:widowControl/>
              <w:textAlignment w:val="top"/>
              <w:rPr>
                <w:rFonts w:hint="eastAsia" w:ascii="宋体" w:hAnsi="宋体" w:cs="宋体"/>
                <w:color w:val="000000"/>
                <w:kern w:val="0"/>
                <w:sz w:val="24"/>
                <w:lang w:bidi="ar"/>
              </w:rPr>
            </w:pPr>
          </w:p>
        </w:tc>
        <w:tc>
          <w:tcPr>
            <w:tcW w:w="718" w:type="pct"/>
            <w:vAlign w:val="top"/>
          </w:tcPr>
          <w:p>
            <w:pPr>
              <w:widowControl/>
              <w:textAlignment w:val="top"/>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10</w:t>
            </w:r>
          </w:p>
        </w:tc>
        <w:tc>
          <w:tcPr>
            <w:tcW w:w="2898" w:type="pct"/>
            <w:vAlign w:val="top"/>
          </w:tcPr>
          <w:p>
            <w:pPr>
              <w:spacing w:line="400" w:lineRule="exact"/>
              <w:jc w:val="left"/>
              <w:rPr>
                <w:rFonts w:hint="eastAsia" w:ascii="宋体" w:hAnsi="宋体" w:eastAsia="宋体" w:cs="Times New Roman"/>
                <w:kern w:val="0"/>
                <w:sz w:val="24"/>
                <w:szCs w:val="24"/>
                <w:lang w:val="en-US" w:eastAsia="zh-CN" w:bidi="ar-SA"/>
              </w:rPr>
            </w:pPr>
            <w:r>
              <w:rPr>
                <w:rFonts w:hint="eastAsia" w:ascii="宋体" w:hAnsi="宋体"/>
                <w:kern w:val="0"/>
                <w:sz w:val="24"/>
              </w:rPr>
              <w:t>具有两个实时温度显示窗口。</w:t>
            </w:r>
          </w:p>
        </w:tc>
        <w:tc>
          <w:tcPr>
            <w:tcW w:w="804" w:type="pct"/>
            <w:vAlign w:val="top"/>
          </w:tcPr>
          <w:p>
            <w:pPr>
              <w:widowControl/>
              <w:textAlignment w:val="top"/>
              <w:rPr>
                <w:rFonts w:hint="eastAsia" w:ascii="宋体" w:hAnsi="宋体" w:cs="宋体"/>
                <w:color w:val="000000"/>
                <w:kern w:val="0"/>
                <w:sz w:val="24"/>
                <w:lang w:bidi="ar"/>
              </w:rPr>
            </w:pPr>
          </w:p>
        </w:tc>
        <w:tc>
          <w:tcPr>
            <w:tcW w:w="718" w:type="pct"/>
            <w:vAlign w:val="top"/>
          </w:tcPr>
          <w:p>
            <w:pPr>
              <w:widowControl/>
              <w:textAlignment w:val="top"/>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11</w:t>
            </w:r>
          </w:p>
        </w:tc>
        <w:tc>
          <w:tcPr>
            <w:tcW w:w="2898" w:type="pct"/>
            <w:vAlign w:val="top"/>
          </w:tcPr>
          <w:p>
            <w:pPr>
              <w:spacing w:line="400" w:lineRule="exact"/>
              <w:jc w:val="left"/>
              <w:rPr>
                <w:rFonts w:hint="eastAsia" w:ascii="宋体" w:hAnsi="宋体" w:eastAsia="宋体" w:cs="Times New Roman"/>
                <w:kern w:val="0"/>
                <w:sz w:val="24"/>
                <w:szCs w:val="24"/>
                <w:lang w:val="en-US" w:eastAsia="zh-CN" w:bidi="ar-SA"/>
              </w:rPr>
            </w:pPr>
            <w:r>
              <w:rPr>
                <w:rFonts w:hint="eastAsia" w:ascii="宋体" w:hAnsi="宋体"/>
                <w:kern w:val="0"/>
                <w:sz w:val="24"/>
              </w:rPr>
              <w:t>温度传感器类型自动识别。</w:t>
            </w:r>
          </w:p>
        </w:tc>
        <w:tc>
          <w:tcPr>
            <w:tcW w:w="804" w:type="pct"/>
            <w:vAlign w:val="top"/>
          </w:tcPr>
          <w:p>
            <w:pPr>
              <w:widowControl/>
              <w:textAlignment w:val="top"/>
              <w:rPr>
                <w:rFonts w:hint="eastAsia" w:ascii="宋体" w:hAnsi="宋体" w:cs="宋体"/>
                <w:color w:val="000000"/>
                <w:kern w:val="0"/>
                <w:sz w:val="24"/>
                <w:lang w:bidi="ar"/>
              </w:rPr>
            </w:pPr>
          </w:p>
        </w:tc>
        <w:tc>
          <w:tcPr>
            <w:tcW w:w="718" w:type="pct"/>
            <w:vAlign w:val="top"/>
          </w:tcPr>
          <w:p>
            <w:pPr>
              <w:widowControl/>
              <w:textAlignment w:val="top"/>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12</w:t>
            </w:r>
          </w:p>
        </w:tc>
        <w:tc>
          <w:tcPr>
            <w:tcW w:w="2898" w:type="pct"/>
            <w:vAlign w:val="top"/>
          </w:tcPr>
          <w:p>
            <w:pPr>
              <w:spacing w:line="400" w:lineRule="exact"/>
              <w:jc w:val="left"/>
              <w:rPr>
                <w:rFonts w:hint="eastAsia" w:ascii="宋体" w:hAnsi="宋体" w:eastAsia="宋体" w:cs="Times New Roman"/>
                <w:kern w:val="0"/>
                <w:sz w:val="24"/>
                <w:szCs w:val="24"/>
                <w:lang w:val="en-US" w:eastAsia="zh-CN" w:bidi="ar-SA"/>
              </w:rPr>
            </w:pPr>
            <w:r>
              <w:rPr>
                <w:rFonts w:hint="eastAsia" w:ascii="宋体" w:hAnsi="宋体"/>
                <w:kern w:val="0"/>
                <w:sz w:val="24"/>
              </w:rPr>
              <w:t>兼容电阻型、电偶型和非温控型消融导管。</w:t>
            </w:r>
          </w:p>
        </w:tc>
        <w:tc>
          <w:tcPr>
            <w:tcW w:w="804" w:type="pct"/>
            <w:vAlign w:val="top"/>
          </w:tcPr>
          <w:p>
            <w:pPr>
              <w:widowControl/>
              <w:textAlignment w:val="top"/>
              <w:rPr>
                <w:rFonts w:hint="eastAsia" w:ascii="宋体" w:hAnsi="宋体" w:cs="宋体"/>
                <w:color w:val="000000"/>
                <w:kern w:val="0"/>
                <w:sz w:val="24"/>
                <w:lang w:bidi="ar"/>
              </w:rPr>
            </w:pPr>
          </w:p>
        </w:tc>
        <w:tc>
          <w:tcPr>
            <w:tcW w:w="718" w:type="pct"/>
            <w:vAlign w:val="top"/>
          </w:tcPr>
          <w:p>
            <w:pPr>
              <w:widowControl/>
              <w:textAlignment w:val="top"/>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13</w:t>
            </w:r>
          </w:p>
        </w:tc>
        <w:tc>
          <w:tcPr>
            <w:tcW w:w="2898" w:type="pct"/>
            <w:vAlign w:val="top"/>
          </w:tcPr>
          <w:p>
            <w:pPr>
              <w:spacing w:line="400" w:lineRule="exact"/>
              <w:jc w:val="left"/>
              <w:rPr>
                <w:rFonts w:hint="eastAsia" w:ascii="宋体" w:hAnsi="宋体" w:eastAsia="宋体" w:cs="Times New Roman"/>
                <w:kern w:val="0"/>
                <w:sz w:val="24"/>
                <w:szCs w:val="24"/>
                <w:lang w:val="en-US" w:eastAsia="zh-CN" w:bidi="ar-SA"/>
              </w:rPr>
            </w:pPr>
            <w:r>
              <w:rPr>
                <w:rFonts w:hint="eastAsia" w:ascii="宋体" w:hAnsi="宋体"/>
                <w:kern w:val="0"/>
                <w:sz w:val="24"/>
              </w:rPr>
              <w:t>放电同时可记录消融导管信号。</w:t>
            </w:r>
          </w:p>
        </w:tc>
        <w:tc>
          <w:tcPr>
            <w:tcW w:w="804" w:type="pct"/>
            <w:vAlign w:val="top"/>
          </w:tcPr>
          <w:p>
            <w:pPr>
              <w:widowControl/>
              <w:textAlignment w:val="top"/>
              <w:rPr>
                <w:rFonts w:hint="eastAsia" w:ascii="宋体" w:hAnsi="宋体" w:cs="宋体"/>
                <w:color w:val="000000"/>
                <w:kern w:val="0"/>
                <w:sz w:val="24"/>
                <w:lang w:bidi="ar"/>
              </w:rPr>
            </w:pPr>
          </w:p>
        </w:tc>
        <w:tc>
          <w:tcPr>
            <w:tcW w:w="718" w:type="pct"/>
            <w:vAlign w:val="top"/>
          </w:tcPr>
          <w:p>
            <w:pPr>
              <w:widowControl/>
              <w:textAlignment w:val="top"/>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top"/>
          </w:tcPr>
          <w:p>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rPr>
              <w:t>14</w:t>
            </w:r>
          </w:p>
        </w:tc>
        <w:tc>
          <w:tcPr>
            <w:tcW w:w="2898" w:type="pct"/>
            <w:vAlign w:val="top"/>
          </w:tcPr>
          <w:p>
            <w:pPr>
              <w:spacing w:line="400" w:lineRule="exact"/>
              <w:jc w:val="left"/>
              <w:rPr>
                <w:rFonts w:hint="eastAsia" w:ascii="宋体" w:hAnsi="宋体" w:eastAsia="宋体" w:cs="Times New Roman"/>
                <w:kern w:val="0"/>
                <w:sz w:val="24"/>
                <w:szCs w:val="24"/>
                <w:lang w:val="en-US" w:eastAsia="zh-CN" w:bidi="ar-SA"/>
              </w:rPr>
            </w:pPr>
            <w:r>
              <w:rPr>
                <w:rFonts w:hint="eastAsia" w:ascii="宋体" w:hAnsi="宋体"/>
                <w:kern w:val="0"/>
                <w:sz w:val="24"/>
              </w:rPr>
              <w:t>消融时间多种控制设置方式：能设置定时输出控制方式，到时间自动停止能量输出；多次消融时间可自动累加显示。</w:t>
            </w:r>
          </w:p>
        </w:tc>
        <w:tc>
          <w:tcPr>
            <w:tcW w:w="804" w:type="pct"/>
            <w:vAlign w:val="top"/>
          </w:tcPr>
          <w:p>
            <w:pPr>
              <w:widowControl/>
              <w:textAlignment w:val="top"/>
              <w:rPr>
                <w:rFonts w:ascii="宋体" w:hAnsi="宋体" w:cs="宋体" w:eastAsiaTheme="minorEastAsia"/>
                <w:color w:val="auto"/>
                <w:kern w:val="2"/>
                <w:sz w:val="21"/>
                <w:szCs w:val="21"/>
                <w:highlight w:val="none"/>
                <w:lang w:val="en-US" w:eastAsia="zh-CN" w:bidi="ar-SA"/>
              </w:rPr>
            </w:pPr>
          </w:p>
        </w:tc>
        <w:tc>
          <w:tcPr>
            <w:tcW w:w="718" w:type="pct"/>
            <w:vAlign w:val="top"/>
          </w:tcPr>
          <w:p>
            <w:pPr>
              <w:widowControl/>
              <w:textAlignment w:val="top"/>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rPr>
              <w:t>15</w:t>
            </w:r>
          </w:p>
        </w:tc>
        <w:tc>
          <w:tcPr>
            <w:tcW w:w="0" w:type="auto"/>
            <w:vAlign w:val="top"/>
          </w:tcPr>
          <w:p>
            <w:pPr>
              <w:pStyle w:val="2"/>
              <w:jc w:val="left"/>
              <w:rPr>
                <w:rFonts w:hint="eastAsia" w:ascii="宋体" w:hAnsi="宋体" w:eastAsia="宋体" w:cs="Times New Roman"/>
                <w:kern w:val="0"/>
                <w:sz w:val="24"/>
                <w:szCs w:val="24"/>
                <w:lang w:val="en-US" w:eastAsia="zh-CN" w:bidi="ar-SA"/>
              </w:rPr>
            </w:pPr>
            <w:r>
              <w:rPr>
                <w:rFonts w:hint="eastAsia" w:hAnsi="宋体" w:cs="Times New Roman"/>
                <w:kern w:val="0"/>
                <w:sz w:val="24"/>
                <w:szCs w:val="24"/>
              </w:rPr>
              <w:t>心脏射频消融仪能被多道生理记录仪控制，信息共享和互联。</w:t>
            </w:r>
          </w:p>
        </w:tc>
        <w:tc>
          <w:tcPr>
            <w:tcW w:w="0" w:type="auto"/>
          </w:tcPr>
          <w:p>
            <w:pPr>
              <w:widowControl/>
              <w:textAlignment w:val="top"/>
              <w:rPr>
                <w:rFonts w:ascii="宋体" w:hAnsi="宋体" w:cs="宋体" w:eastAsiaTheme="minorEastAsia"/>
                <w:color w:val="auto"/>
                <w:kern w:val="2"/>
                <w:sz w:val="21"/>
                <w:szCs w:val="21"/>
                <w:highlight w:val="none"/>
                <w:lang w:val="en-US" w:eastAsia="zh-CN" w:bidi="ar-SA"/>
              </w:rPr>
            </w:pPr>
          </w:p>
        </w:tc>
        <w:tc>
          <w:tcPr>
            <w:tcW w:w="0" w:type="auto"/>
          </w:tcPr>
          <w:p>
            <w:pPr>
              <w:widowControl/>
              <w:textAlignment w:val="top"/>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rPr>
              <w:t>16</w:t>
            </w:r>
          </w:p>
        </w:tc>
        <w:tc>
          <w:tcPr>
            <w:tcW w:w="0" w:type="auto"/>
            <w:vAlign w:val="top"/>
          </w:tcPr>
          <w:p>
            <w:pPr>
              <w:spacing w:line="400" w:lineRule="exact"/>
              <w:jc w:val="left"/>
              <w:rPr>
                <w:rFonts w:hint="eastAsia" w:ascii="宋体" w:hAnsi="宋体" w:eastAsia="宋体" w:cs="Times New Roman"/>
                <w:kern w:val="0"/>
                <w:sz w:val="24"/>
                <w:szCs w:val="24"/>
                <w:lang w:val="en-US" w:eastAsia="zh-CN" w:bidi="ar-SA"/>
              </w:rPr>
            </w:pPr>
            <w:r>
              <w:rPr>
                <w:rFonts w:hint="eastAsia" w:ascii="宋体" w:hAnsi="宋体"/>
                <w:kern w:val="0"/>
                <w:sz w:val="24"/>
              </w:rPr>
              <w:t>具备与冷盐水泵联动功能，有效控制消融温度。</w:t>
            </w:r>
          </w:p>
        </w:tc>
        <w:tc>
          <w:tcPr>
            <w:tcW w:w="0" w:type="auto"/>
          </w:tcPr>
          <w:p>
            <w:pPr>
              <w:widowControl/>
              <w:textAlignment w:val="top"/>
              <w:rPr>
                <w:rFonts w:ascii="宋体" w:hAnsi="宋体" w:cs="宋体" w:eastAsiaTheme="minorEastAsia"/>
                <w:color w:val="auto"/>
                <w:kern w:val="2"/>
                <w:sz w:val="21"/>
                <w:szCs w:val="21"/>
                <w:highlight w:val="none"/>
                <w:lang w:val="en-US" w:eastAsia="zh-CN" w:bidi="ar-SA"/>
              </w:rPr>
            </w:pPr>
          </w:p>
        </w:tc>
        <w:tc>
          <w:tcPr>
            <w:tcW w:w="0" w:type="auto"/>
          </w:tcPr>
          <w:p>
            <w:pPr>
              <w:widowControl/>
              <w:textAlignment w:val="top"/>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rPr>
              <w:t>17</w:t>
            </w:r>
          </w:p>
        </w:tc>
        <w:tc>
          <w:tcPr>
            <w:tcW w:w="0" w:type="auto"/>
            <w:vAlign w:val="top"/>
          </w:tcPr>
          <w:p>
            <w:pPr>
              <w:spacing w:line="400" w:lineRule="exact"/>
              <w:jc w:val="left"/>
              <w:rPr>
                <w:rFonts w:hint="eastAsia" w:ascii="宋体" w:hAnsi="宋体" w:eastAsia="宋体" w:cs="Times New Roman"/>
                <w:kern w:val="0"/>
                <w:sz w:val="24"/>
                <w:szCs w:val="24"/>
                <w:lang w:val="en-US" w:eastAsia="zh-CN" w:bidi="ar-SA"/>
              </w:rPr>
            </w:pPr>
            <w:r>
              <w:rPr>
                <w:rFonts w:hint="eastAsia" w:ascii="宋体" w:hAnsi="宋体"/>
                <w:kern w:val="0"/>
                <w:sz w:val="24"/>
              </w:rPr>
              <w:t>具备中文或英文语言界面功能。</w:t>
            </w:r>
          </w:p>
        </w:tc>
        <w:tc>
          <w:tcPr>
            <w:tcW w:w="0" w:type="auto"/>
          </w:tcPr>
          <w:p>
            <w:pPr>
              <w:widowControl/>
              <w:textAlignment w:val="top"/>
              <w:rPr>
                <w:rFonts w:ascii="宋体" w:hAnsi="宋体" w:cs="宋体" w:eastAsiaTheme="minorEastAsia"/>
                <w:color w:val="auto"/>
                <w:kern w:val="2"/>
                <w:sz w:val="21"/>
                <w:szCs w:val="21"/>
                <w:highlight w:val="none"/>
                <w:lang w:val="en-US" w:eastAsia="zh-CN" w:bidi="ar-SA"/>
              </w:rPr>
            </w:pPr>
          </w:p>
        </w:tc>
        <w:tc>
          <w:tcPr>
            <w:tcW w:w="0" w:type="auto"/>
          </w:tcPr>
          <w:p>
            <w:pPr>
              <w:widowControl/>
              <w:textAlignment w:val="top"/>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rPr>
              <w:t>18</w:t>
            </w:r>
          </w:p>
        </w:tc>
        <w:tc>
          <w:tcPr>
            <w:tcW w:w="0" w:type="auto"/>
            <w:vAlign w:val="top"/>
          </w:tcPr>
          <w:p>
            <w:pPr>
              <w:spacing w:line="400" w:lineRule="exact"/>
              <w:jc w:val="left"/>
              <w:rPr>
                <w:rFonts w:hint="eastAsia" w:ascii="宋体" w:hAnsi="宋体" w:eastAsia="宋体" w:cs="Times New Roman"/>
                <w:bCs/>
                <w:kern w:val="0"/>
                <w:sz w:val="24"/>
                <w:szCs w:val="24"/>
                <w:lang w:val="en-US" w:eastAsia="zh-CN" w:bidi="ar-SA"/>
              </w:rPr>
            </w:pPr>
            <w:r>
              <w:rPr>
                <w:rFonts w:hint="eastAsia" w:ascii="宋体" w:hAnsi="宋体" w:cs="宋体"/>
                <w:kern w:val="0"/>
                <w:szCs w:val="21"/>
                <w:highlight w:val="yellow"/>
                <w:lang w:bidi="ar"/>
              </w:rPr>
              <w:t>★</w:t>
            </w:r>
            <w:r>
              <w:rPr>
                <w:rFonts w:hint="eastAsia" w:ascii="仿宋" w:hAnsi="仿宋" w:eastAsia="仿宋" w:cs="仿宋"/>
                <w:b/>
                <w:sz w:val="24"/>
                <w:highlight w:val="yellow"/>
              </w:rPr>
              <w:t>若有配套医用耗材：必须提供国家医保耗材代码，必须提供广东省药品电子交易平台的药交ID和联盟区限价。</w:t>
            </w:r>
          </w:p>
        </w:tc>
        <w:tc>
          <w:tcPr>
            <w:tcW w:w="0" w:type="auto"/>
          </w:tcPr>
          <w:p>
            <w:pPr>
              <w:widowControl/>
              <w:textAlignment w:val="top"/>
              <w:rPr>
                <w:rFonts w:ascii="宋体" w:hAnsi="宋体" w:cs="宋体" w:eastAsiaTheme="minorEastAsia"/>
                <w:color w:val="auto"/>
                <w:kern w:val="2"/>
                <w:sz w:val="21"/>
                <w:szCs w:val="21"/>
                <w:highlight w:val="none"/>
                <w:lang w:val="en-US" w:eastAsia="zh-CN" w:bidi="ar-SA"/>
              </w:rPr>
            </w:pPr>
          </w:p>
        </w:tc>
        <w:tc>
          <w:tcPr>
            <w:tcW w:w="0" w:type="auto"/>
          </w:tcPr>
          <w:p>
            <w:pPr>
              <w:widowControl/>
              <w:textAlignment w:val="top"/>
              <w:rPr>
                <w:rFonts w:ascii="宋体" w:hAnsi="宋体" w:cs="宋体" w:eastAsiaTheme="minorEastAsia"/>
                <w:color w:val="auto"/>
                <w:kern w:val="2"/>
                <w:sz w:val="21"/>
                <w:szCs w:val="21"/>
                <w:highlight w:val="none"/>
                <w:lang w:val="en-US" w:eastAsia="zh-CN" w:bidi="ar-SA"/>
              </w:rPr>
            </w:pPr>
          </w:p>
        </w:tc>
      </w:tr>
    </w:tbl>
    <w:p>
      <w:pPr>
        <w:tabs>
          <w:tab w:val="left" w:pos="720"/>
        </w:tabs>
        <w:spacing w:line="340" w:lineRule="exact"/>
        <w:jc w:val="left"/>
        <w:rPr>
          <w:rFonts w:ascii="宋体" w:hAnsi="宋体"/>
          <w:b/>
          <w:bCs/>
          <w:szCs w:val="21"/>
        </w:rPr>
      </w:pPr>
    </w:p>
    <w:p/>
    <w:p/>
    <w:p>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sz w:val="24"/>
        </w:rPr>
        <w:t>（请按用户需求里的商务要求</w:t>
      </w:r>
      <w:r>
        <w:rPr>
          <w:rFonts w:hint="eastAsia" w:asciiTheme="minorEastAsia" w:hAnsiTheme="minorEastAsia" w:eastAsiaTheme="minorEastAsia" w:cstheme="minorEastAsia"/>
          <w:b/>
          <w:bCs/>
          <w:sz w:val="24"/>
        </w:rPr>
        <w:t>逐条</w:t>
      </w:r>
      <w:r>
        <w:rPr>
          <w:rFonts w:hint="eastAsia" w:asciiTheme="minorEastAsia" w:hAnsiTheme="minorEastAsia" w:eastAsiaTheme="minorEastAsia" w:cstheme="minorEastAsia"/>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23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szCs w:val="21"/>
              </w:rPr>
              <w:t>1.1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b/>
                <w:szCs w:val="21"/>
              </w:rPr>
              <w:t>交货及安装、验收要求</w:t>
            </w: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交货地点：采购人指定地点。</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szCs w:val="21"/>
              </w:rPr>
              <w:t>1.2</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交货期：中标供应商应当在中标通知书发出之日起30日内按招标文件及中标人的投标文件确定的事项与采购人签订合同，签订合同后 30 日内完成设备的安装调试。</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rPr>
              <w:t>1.3</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中标供应商须保证中标后所提供的设备为原装、全新合格的产品。产品交付时中标供应商应提供产品真实有效的生产日期，且生产日期距交付时间的时间差不超过  6个 月。</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rPr>
              <w:t>1.4</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中标供应商负责派技术人员到现场进行安装调试，直至验收合格，安装调试所需费用应包含在投标总报价内；同时提供培训服务，必须保证需求科室操作人员融会贯通，培训所需费用全部包含在总报价内。</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rPr>
              <w:t>1.5</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验收方式：按《小榄镇公立医院政府采购和验收办法》。</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olor w:val="000000" w:themeColor="text1"/>
                <w:szCs w:val="21"/>
              </w:rPr>
              <w:t>★</w:t>
            </w:r>
            <w:r>
              <w:rPr>
                <w:rFonts w:hint="eastAsia" w:ascii="宋体" w:hAnsi="宋体"/>
              </w:rPr>
              <w:t>1.6</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投标供应商须要在投标文件做出具承诺函，该承诺函包括但不限于以下内容:</w:t>
            </w:r>
          </w:p>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承诺中标后须在中标公告发布之日起五个工作日内提供设备制造厂商开具并盖章的合法有效的授权函原件（盖鲜章）、售后服务承诺函原件（盖鲜章）。</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szCs w:val="21"/>
              </w:rPr>
              <w:t>2.1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b/>
                <w:szCs w:val="21"/>
              </w:rPr>
              <w:t>售后服务要求</w:t>
            </w: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中标供应商必须在中国境内有售后服务机构，并附有售后服务能力说明。</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olor w:val="000000" w:themeColor="text1"/>
                <w:szCs w:val="21"/>
              </w:rPr>
              <w:t>★</w:t>
            </w:r>
            <w:r>
              <w:rPr>
                <w:rFonts w:hint="eastAsia" w:ascii="宋体" w:hAnsi="宋体"/>
                <w:szCs w:val="21"/>
              </w:rPr>
              <w:t>2.2</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中标供应商须提供设备原厂质保（设备原厂质量保修范围和保修期）至少为  1  年。</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szCs w:val="21"/>
              </w:rPr>
              <w:t>2.3</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在售后期内，中标供应商在接到用户的维修通知，响应时间为半小时内，工程师到达现场时间为4小时内，排除故障时限为到达现场后8小时内。</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szCs w:val="21"/>
              </w:rPr>
              <w:t>2.4</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如果产品故障在检修12小时后仍无法排除，中标供应商应在24小时内提供不低于故障产品规格型号档次的备用产品供采购人使用，直至故障产品修复。</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szCs w:val="21"/>
              </w:rPr>
            </w:pPr>
            <w:r>
              <w:rPr>
                <w:rFonts w:hint="eastAsia" w:ascii="宋体" w:hAnsi="宋体"/>
                <w:color w:val="000000" w:themeColor="text1"/>
                <w:szCs w:val="21"/>
              </w:rPr>
              <w:t>★</w:t>
            </w:r>
            <w:r>
              <w:rPr>
                <w:rFonts w:hint="eastAsia" w:ascii="宋体" w:hAnsi="宋体"/>
                <w:szCs w:val="21"/>
              </w:rPr>
              <w:t>3.1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b/>
                <w:szCs w:val="21"/>
              </w:rPr>
              <w:t>付款方式</w:t>
            </w: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本合同的每笔款项以人民币转账方式支付，合同设备到采购人指定地点交付并完成安装，验收合格后，中标供应商凭：</w:t>
            </w:r>
          </w:p>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（1）合同；</w:t>
            </w:r>
          </w:p>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（2）验收调试合格报告（加盖采购人公章）；</w:t>
            </w:r>
          </w:p>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（3）中标供应商开具的正式发票（加盖发票专用章）。</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szCs w:val="21"/>
              </w:rPr>
            </w:pPr>
            <w:r>
              <w:rPr>
                <w:rFonts w:hint="eastAsia" w:ascii="宋体" w:hAnsi="宋体"/>
                <w:color w:val="000000" w:themeColor="text1"/>
                <w:szCs w:val="21"/>
              </w:rPr>
              <w:t>★</w:t>
            </w:r>
            <w:r>
              <w:rPr>
                <w:rFonts w:hint="eastAsia" w:ascii="宋体" w:hAnsi="宋体"/>
                <w:szCs w:val="21"/>
              </w:rPr>
              <w:t>3.2</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体付款方式：合同签订后，采购人预付合同总金额的20%款项，同时中标供应商须提供相同金额的收款收据；中标供应商按合同协议时间提供设备，并经协议规定的验收机构书面确认验收合格后，开具全额发票，采购人确认发票无误后一个月内支付合同总金额的75%；合同总金额的5%在质保期满后一次性无息</w:t>
            </w:r>
            <w:r>
              <w:rPr>
                <w:rFonts w:hint="eastAsia" w:ascii="宋体" w:hAnsi="宋体" w:cs="宋体"/>
                <w:kern w:val="2"/>
                <w:sz w:val="21"/>
                <w:szCs w:val="21"/>
                <w:lang w:val="en-US" w:eastAsia="zh-CN" w:bidi="ar-SA"/>
              </w:rPr>
              <w:t>支付</w:t>
            </w:r>
            <w:r>
              <w:rPr>
                <w:rFonts w:hint="eastAsia" w:ascii="宋体" w:hAnsi="宋体" w:eastAsia="宋体" w:cs="宋体"/>
                <w:kern w:val="2"/>
                <w:sz w:val="21"/>
                <w:szCs w:val="21"/>
                <w:lang w:val="en-US" w:eastAsia="zh-CN" w:bidi="ar-SA"/>
              </w:rPr>
              <w:t>。</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bl>
    <w:p>
      <w:pPr>
        <w:tabs>
          <w:tab w:val="left" w:pos="720"/>
        </w:tabs>
        <w:spacing w:line="340" w:lineRule="exact"/>
        <w:jc w:val="left"/>
        <w:rPr>
          <w:rFonts w:ascii="宋体" w:hAnsi="宋体"/>
          <w:b/>
          <w:bCs/>
          <w:sz w:val="30"/>
          <w:szCs w:val="30"/>
        </w:rPr>
      </w:pPr>
    </w:p>
    <w:p>
      <w:pPr>
        <w:rPr>
          <w:rFonts w:ascii="宋体" w:hAnsi="宋体"/>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1C2D7"/>
    <w:multiLevelType w:val="singleLevel"/>
    <w:tmpl w:val="3CC1C2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A5MjdkNjg2YTgyNDFiOGE5MDU4YjBiNzJiYWU0MDkifQ=="/>
  </w:docVars>
  <w:rsids>
    <w:rsidRoot w:val="0021765C"/>
    <w:rsid w:val="00006B23"/>
    <w:rsid w:val="00101055"/>
    <w:rsid w:val="00172098"/>
    <w:rsid w:val="001A2E0A"/>
    <w:rsid w:val="001C3436"/>
    <w:rsid w:val="00204E07"/>
    <w:rsid w:val="0021765C"/>
    <w:rsid w:val="00293342"/>
    <w:rsid w:val="002D465D"/>
    <w:rsid w:val="0035345C"/>
    <w:rsid w:val="003A3903"/>
    <w:rsid w:val="003F4B3D"/>
    <w:rsid w:val="00411B54"/>
    <w:rsid w:val="00412297"/>
    <w:rsid w:val="00525E5C"/>
    <w:rsid w:val="00527C0D"/>
    <w:rsid w:val="00544162"/>
    <w:rsid w:val="005459E1"/>
    <w:rsid w:val="0063702E"/>
    <w:rsid w:val="00697BB0"/>
    <w:rsid w:val="00714732"/>
    <w:rsid w:val="00743BEA"/>
    <w:rsid w:val="007D0F38"/>
    <w:rsid w:val="00855AB0"/>
    <w:rsid w:val="00857394"/>
    <w:rsid w:val="00857CF3"/>
    <w:rsid w:val="00860BDF"/>
    <w:rsid w:val="00914200"/>
    <w:rsid w:val="009347C6"/>
    <w:rsid w:val="00987B50"/>
    <w:rsid w:val="00997C38"/>
    <w:rsid w:val="009E2D17"/>
    <w:rsid w:val="00A073B6"/>
    <w:rsid w:val="00A25AA4"/>
    <w:rsid w:val="00A84A99"/>
    <w:rsid w:val="00B063B7"/>
    <w:rsid w:val="00B73D92"/>
    <w:rsid w:val="00BA73BA"/>
    <w:rsid w:val="00C404BE"/>
    <w:rsid w:val="00C64DF1"/>
    <w:rsid w:val="00D03E7C"/>
    <w:rsid w:val="00DD5B47"/>
    <w:rsid w:val="00DF2464"/>
    <w:rsid w:val="00E83A0A"/>
    <w:rsid w:val="00ED1DC3"/>
    <w:rsid w:val="00F0449B"/>
    <w:rsid w:val="00F7514F"/>
    <w:rsid w:val="00F77392"/>
    <w:rsid w:val="01C15ED7"/>
    <w:rsid w:val="01E933D0"/>
    <w:rsid w:val="05AE53ED"/>
    <w:rsid w:val="07620875"/>
    <w:rsid w:val="08206FAF"/>
    <w:rsid w:val="088B5442"/>
    <w:rsid w:val="08E86C8A"/>
    <w:rsid w:val="0A1B13A6"/>
    <w:rsid w:val="0C583667"/>
    <w:rsid w:val="0D492691"/>
    <w:rsid w:val="0D55237A"/>
    <w:rsid w:val="0EDA5F4A"/>
    <w:rsid w:val="101B4F71"/>
    <w:rsid w:val="11215D00"/>
    <w:rsid w:val="116F5E3C"/>
    <w:rsid w:val="11BE7D21"/>
    <w:rsid w:val="125151D8"/>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453AE8"/>
    <w:rsid w:val="206831B1"/>
    <w:rsid w:val="23330D4B"/>
    <w:rsid w:val="23683A18"/>
    <w:rsid w:val="23E7584F"/>
    <w:rsid w:val="268A1BB3"/>
    <w:rsid w:val="2A885D27"/>
    <w:rsid w:val="2AA33888"/>
    <w:rsid w:val="2C6C3AC1"/>
    <w:rsid w:val="2D5D7614"/>
    <w:rsid w:val="2D79575C"/>
    <w:rsid w:val="2E712EDD"/>
    <w:rsid w:val="2EBD544A"/>
    <w:rsid w:val="2F4263DE"/>
    <w:rsid w:val="2F980E41"/>
    <w:rsid w:val="2FB36F7C"/>
    <w:rsid w:val="32A966F2"/>
    <w:rsid w:val="34326E09"/>
    <w:rsid w:val="34AF794B"/>
    <w:rsid w:val="35D572ED"/>
    <w:rsid w:val="35DF56B3"/>
    <w:rsid w:val="36891F17"/>
    <w:rsid w:val="397337AD"/>
    <w:rsid w:val="39AD7AFB"/>
    <w:rsid w:val="3B150E18"/>
    <w:rsid w:val="3B856185"/>
    <w:rsid w:val="3C2053DE"/>
    <w:rsid w:val="3C5A7ECD"/>
    <w:rsid w:val="3C8138D7"/>
    <w:rsid w:val="3C963008"/>
    <w:rsid w:val="3CF8165C"/>
    <w:rsid w:val="3F196F49"/>
    <w:rsid w:val="407E146F"/>
    <w:rsid w:val="40A72911"/>
    <w:rsid w:val="40C43099"/>
    <w:rsid w:val="41B0738E"/>
    <w:rsid w:val="42E42773"/>
    <w:rsid w:val="447A3E90"/>
    <w:rsid w:val="45815466"/>
    <w:rsid w:val="45B122E0"/>
    <w:rsid w:val="47D67E4A"/>
    <w:rsid w:val="48574A53"/>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22D2BA8"/>
    <w:rsid w:val="58591307"/>
    <w:rsid w:val="59480742"/>
    <w:rsid w:val="5B962D7C"/>
    <w:rsid w:val="5CEB018E"/>
    <w:rsid w:val="5D4446FE"/>
    <w:rsid w:val="5E753BD4"/>
    <w:rsid w:val="5EC71180"/>
    <w:rsid w:val="5F580C6B"/>
    <w:rsid w:val="5FA44E0F"/>
    <w:rsid w:val="5FE15E62"/>
    <w:rsid w:val="60182200"/>
    <w:rsid w:val="60872EF7"/>
    <w:rsid w:val="61F160E0"/>
    <w:rsid w:val="63895A12"/>
    <w:rsid w:val="644C371A"/>
    <w:rsid w:val="66AF192B"/>
    <w:rsid w:val="6741119A"/>
    <w:rsid w:val="677850FC"/>
    <w:rsid w:val="6AC879A3"/>
    <w:rsid w:val="6C1727C7"/>
    <w:rsid w:val="6C1D026B"/>
    <w:rsid w:val="6C851FDC"/>
    <w:rsid w:val="6DCA297E"/>
    <w:rsid w:val="6E7D7016"/>
    <w:rsid w:val="6EE6418B"/>
    <w:rsid w:val="6F8010C8"/>
    <w:rsid w:val="6F957CEC"/>
    <w:rsid w:val="6FB54CDB"/>
    <w:rsid w:val="73A94275"/>
    <w:rsid w:val="7547180C"/>
    <w:rsid w:val="78482494"/>
    <w:rsid w:val="79727A43"/>
    <w:rsid w:val="79740B49"/>
    <w:rsid w:val="7B47043A"/>
    <w:rsid w:val="7B6A77B1"/>
    <w:rsid w:val="7BB00769"/>
    <w:rsid w:val="7BDC306D"/>
    <w:rsid w:val="7C83261F"/>
    <w:rsid w:val="7C853D90"/>
    <w:rsid w:val="7E0638FF"/>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Body Text"/>
    <w:basedOn w:val="1"/>
    <w:next w:val="5"/>
    <w:qFormat/>
    <w:uiPriority w:val="0"/>
    <w:pPr>
      <w:spacing w:after="120"/>
    </w:p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oc 5"/>
    <w:basedOn w:val="1"/>
    <w:next w:val="1"/>
    <w:qFormat/>
    <w:uiPriority w:val="0"/>
    <w:pPr>
      <w:ind w:left="1680" w:leftChars="8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99"/>
    <w:pPr>
      <w:spacing w:after="120" w:line="480" w:lineRule="auto"/>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8"/>
    <w:qFormat/>
    <w:uiPriority w:val="0"/>
    <w:rPr>
      <w:rFonts w:ascii="Times New Roman" w:hAnsi="Times New Roman" w:eastAsia="宋体" w:cs="Times New Roman"/>
      <w:kern w:val="2"/>
      <w:sz w:val="18"/>
      <w:szCs w:val="18"/>
    </w:rPr>
  </w:style>
  <w:style w:type="character" w:customStyle="1" w:styleId="17">
    <w:name w:val="font61"/>
    <w:basedOn w:val="12"/>
    <w:qFormat/>
    <w:uiPriority w:val="0"/>
    <w:rPr>
      <w:rFonts w:hint="default" w:ascii="Times New Roman" w:hAnsi="Times New Roman" w:cs="Times New Roman"/>
      <w:color w:val="000000"/>
      <w:sz w:val="28"/>
      <w:szCs w:val="28"/>
      <w:u w:val="none"/>
    </w:rPr>
  </w:style>
  <w:style w:type="character" w:customStyle="1" w:styleId="18">
    <w:name w:val="font51"/>
    <w:basedOn w:val="1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C31D3-4BCC-4CD6-97FC-4EB169CB7B80}">
  <ds:schemaRefs/>
</ds:datastoreItem>
</file>

<file path=docProps/app.xml><?xml version="1.0" encoding="utf-8"?>
<Properties xmlns="http://schemas.openxmlformats.org/officeDocument/2006/extended-properties" xmlns:vt="http://schemas.openxmlformats.org/officeDocument/2006/docPropsVTypes">
  <Template>Normal</Template>
  <Pages>7</Pages>
  <Words>2422</Words>
  <Characters>2660</Characters>
  <Lines>14</Lines>
  <Paragraphs>4</Paragraphs>
  <TotalTime>1</TotalTime>
  <ScaleCrop>false</ScaleCrop>
  <LinksUpToDate>false</LinksUpToDate>
  <CharactersWithSpaces>2784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酸小敏</cp:lastModifiedBy>
  <dcterms:modified xsi:type="dcterms:W3CDTF">2022-07-17T01:26:54Z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3E465D5279D54E8C85B8DEAAA68BB77D</vt:lpwstr>
  </property>
  <property fmtid="{D5CDD505-2E9C-101B-9397-08002B2CF9AE}" pid="4" name="commondata">
    <vt:lpwstr>eyJoZGlkIjoiOTA5MjdkNjg2YTgyNDFiOGE5MDU4YjBiNzJiYWU0MDkifQ==</vt:lpwstr>
  </property>
</Properties>
</file>