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32"/>
          <w:szCs w:val="32"/>
        </w:rPr>
      </w:pPr>
      <w:r>
        <w:rPr>
          <w:rFonts w:hint="eastAsia"/>
          <w:b/>
          <w:bCs/>
          <w:sz w:val="44"/>
          <w:szCs w:val="44"/>
        </w:rPr>
        <w:t>报价单</w:t>
      </w:r>
    </w:p>
    <w:p>
      <w:pPr>
        <w:spacing w:line="440" w:lineRule="exact"/>
        <w:rPr>
          <w:sz w:val="32"/>
          <w:szCs w:val="32"/>
        </w:rPr>
      </w:pPr>
    </w:p>
    <w:p>
      <w:pPr>
        <w:spacing w:line="440" w:lineRule="exact"/>
        <w:rPr>
          <w:sz w:val="32"/>
          <w:szCs w:val="32"/>
        </w:rPr>
      </w:pPr>
      <w:r>
        <w:rPr>
          <w:rFonts w:hint="eastAsia"/>
          <w:sz w:val="32"/>
          <w:szCs w:val="32"/>
        </w:rPr>
        <w:t>致中山市小榄人民医院：</w:t>
      </w:r>
    </w:p>
    <w:tbl>
      <w:tblPr>
        <w:tblStyle w:val="9"/>
        <w:tblpPr w:leftFromText="180" w:rightFromText="180" w:vertAnchor="text" w:horzAnchor="page" w:tblpX="1299" w:tblpY="584"/>
        <w:tblOverlap w:val="never"/>
        <w:tblW w:w="10049" w:type="dxa"/>
        <w:tblInd w:w="0" w:type="dxa"/>
        <w:tblLayout w:type="fixed"/>
        <w:tblCellMar>
          <w:top w:w="0" w:type="dxa"/>
          <w:left w:w="0" w:type="dxa"/>
          <w:bottom w:w="0" w:type="dxa"/>
          <w:right w:w="0" w:type="dxa"/>
        </w:tblCellMar>
      </w:tblPr>
      <w:tblGrid>
        <w:gridCol w:w="1000"/>
        <w:gridCol w:w="1632"/>
        <w:gridCol w:w="968"/>
        <w:gridCol w:w="1416"/>
        <w:gridCol w:w="885"/>
        <w:gridCol w:w="832"/>
        <w:gridCol w:w="850"/>
        <w:gridCol w:w="1218"/>
        <w:gridCol w:w="1248"/>
      </w:tblGrid>
      <w:tr>
        <w:tblPrEx>
          <w:tblCellMar>
            <w:top w:w="0" w:type="dxa"/>
            <w:left w:w="0" w:type="dxa"/>
            <w:bottom w:w="0" w:type="dxa"/>
            <w:right w:w="0" w:type="dxa"/>
          </w:tblCellMar>
        </w:tblPrEx>
        <w:trPr>
          <w:trHeight w:val="74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4"/>
              </w:rPr>
            </w:pPr>
            <w:r>
              <w:rPr>
                <w:rFonts w:hint="eastAsia" w:ascii="宋体" w:hAnsi="宋体" w:cs="宋体"/>
                <w:kern w:val="0"/>
                <w:sz w:val="24"/>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名称</w:t>
            </w:r>
          </w:p>
        </w:tc>
        <w:tc>
          <w:tcPr>
            <w:tcW w:w="9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型号</w:t>
            </w:r>
          </w:p>
        </w:tc>
        <w:tc>
          <w:tcPr>
            <w:tcW w:w="14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厂家</w:t>
            </w:r>
            <w:r>
              <w:rPr>
                <w:rStyle w:val="16"/>
                <w:color w:val="auto"/>
                <w:sz w:val="24"/>
                <w:szCs w:val="24"/>
              </w:rPr>
              <w:t>/</w:t>
            </w:r>
            <w:r>
              <w:rPr>
                <w:rStyle w:val="17"/>
                <w:rFonts w:hint="default"/>
                <w:color w:val="auto"/>
                <w:sz w:val="24"/>
                <w:szCs w:val="24"/>
              </w:rPr>
              <w:t>品牌</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产地</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单位</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数量</w:t>
            </w:r>
          </w:p>
        </w:tc>
        <w:tc>
          <w:tcPr>
            <w:tcW w:w="12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单价（元）</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rPr>
            </w:pPr>
            <w:r>
              <w:rPr>
                <w:rFonts w:hint="eastAsia" w:ascii="宋体" w:hAnsi="宋体" w:cs="宋体"/>
                <w:kern w:val="0"/>
                <w:sz w:val="24"/>
              </w:rPr>
              <w:t>总价（元）</w:t>
            </w: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r>
              <w:rPr>
                <w:rFonts w:hint="eastAsia"/>
                <w:sz w:val="24"/>
              </w:rPr>
              <w:t>1</w:t>
            </w: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rPr>
            </w:pPr>
            <w:r>
              <w:rPr>
                <w:rFonts w:hint="eastAsia"/>
                <w:sz w:val="16"/>
              </w:rPr>
              <w:t>（按注册证填写）</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eastAsia="宋体"/>
                <w:sz w:val="24"/>
                <w:lang w:eastAsia="zh-CN"/>
              </w:rPr>
            </w:pPr>
            <w:r>
              <w:rPr>
                <w:rFonts w:hint="eastAsia"/>
                <w:sz w:val="24"/>
                <w:lang w:val="en-US" w:eastAsia="zh-CN"/>
              </w:rPr>
              <w:t>2</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rPr>
            </w:pPr>
          </w:p>
        </w:tc>
      </w:tr>
    </w:tbl>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1、以上设备提供原厂</w:t>
      </w:r>
      <w:r>
        <w:rPr>
          <w:rFonts w:hint="eastAsia"/>
          <w:sz w:val="28"/>
          <w:szCs w:val="28"/>
          <w:u w:val="single"/>
        </w:rPr>
        <w:t xml:space="preserve">     </w:t>
      </w:r>
      <w:r>
        <w:rPr>
          <w:rFonts w:hint="eastAsia"/>
          <w:sz w:val="28"/>
          <w:szCs w:val="28"/>
        </w:rPr>
        <w:t>年质保。</w:t>
      </w:r>
    </w:p>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rPr>
      </w:pPr>
    </w:p>
    <w:p>
      <w:pPr>
        <w:keepNext w:val="0"/>
        <w:keepLines w:val="0"/>
        <w:pageBreakBefore w:val="0"/>
        <w:kinsoku/>
        <w:wordWrap/>
        <w:overflowPunct/>
        <w:topLinePunct w:val="0"/>
        <w:autoSpaceDE/>
        <w:autoSpaceDN/>
        <w:bidi w:val="0"/>
        <w:adjustRightInd w:val="0"/>
        <w:snapToGrid w:val="0"/>
        <w:spacing w:line="240" w:lineRule="auto"/>
        <w:rPr>
          <w:sz w:val="28"/>
          <w:szCs w:val="28"/>
        </w:rPr>
      </w:pPr>
      <w:r>
        <w:rPr>
          <w:rFonts w:hint="eastAsia"/>
          <w:sz w:val="28"/>
          <w:szCs w:val="28"/>
        </w:rPr>
        <w:t>2、配件、耗材报价（如有请详细列出来）：</w:t>
      </w:r>
    </w:p>
    <w:tbl>
      <w:tblPr>
        <w:tblStyle w:val="9"/>
        <w:tblpPr w:leftFromText="180" w:rightFromText="180" w:vertAnchor="text" w:horzAnchor="page" w:tblpX="792" w:tblpY="355"/>
        <w:tblOverlap w:val="never"/>
        <w:tblW w:w="10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84"/>
        <w:gridCol w:w="1066"/>
        <w:gridCol w:w="867"/>
        <w:gridCol w:w="1350"/>
        <w:gridCol w:w="750"/>
        <w:gridCol w:w="783"/>
        <w:gridCol w:w="900"/>
        <w:gridCol w:w="717"/>
        <w:gridCol w:w="14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bookmarkStart w:id="0" w:name="OLE_LINK1"/>
            <w:r>
              <w:rPr>
                <w:rFonts w:hint="eastAsia" w:ascii="宋体" w:hAnsi="宋体" w:eastAsia="宋体" w:cs="宋体"/>
                <w:i w:val="0"/>
                <w:iCs w:val="0"/>
                <w:color w:val="000000"/>
                <w:kern w:val="0"/>
                <w:sz w:val="24"/>
                <w:szCs w:val="24"/>
                <w:u w:val="none"/>
                <w:lang w:val="en-US" w:eastAsia="zh-CN" w:bidi="ar"/>
              </w:rPr>
              <w:t>药交ID</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国家医保耗材代码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医疗器械注册证号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耗材/试剂/消耗品/配件</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是否专机专用</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是否可收费</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联盟区/省平台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供应商报价（如果在联盟区，报价不得高于联盟区限价）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2068328</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C1701082160600006251</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辐照生物敷料</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0.5-7鼓(100mmx200mm/鼓)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300 </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自行添加</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kern w:val="0"/>
                <w:sz w:val="24"/>
                <w:szCs w:val="24"/>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0"/>
    </w:tbl>
    <w:p>
      <w:pPr>
        <w:jc w:val="right"/>
        <w:rPr>
          <w:sz w:val="28"/>
          <w:szCs w:val="28"/>
        </w:rPr>
      </w:pPr>
      <w:r>
        <w:rPr>
          <w:rFonts w:hint="eastAsia"/>
          <w:sz w:val="28"/>
          <w:szCs w:val="28"/>
        </w:rPr>
        <w:t xml:space="preserve">                           报价公司（盖章）：</w:t>
      </w:r>
    </w:p>
    <w:p>
      <w:pPr>
        <w:ind w:firstLine="5320" w:firstLineChars="1900"/>
        <w:jc w:val="right"/>
        <w:rPr>
          <w:sz w:val="28"/>
          <w:szCs w:val="28"/>
        </w:rPr>
      </w:pPr>
      <w:r>
        <w:rPr>
          <w:rFonts w:hint="eastAsia"/>
          <w:sz w:val="28"/>
          <w:szCs w:val="28"/>
        </w:rPr>
        <w:t>报价联系人：</w:t>
      </w:r>
    </w:p>
    <w:p>
      <w:pPr>
        <w:jc w:val="right"/>
        <w:rPr>
          <w:sz w:val="28"/>
          <w:szCs w:val="28"/>
        </w:rPr>
      </w:pPr>
      <w:r>
        <w:rPr>
          <w:rFonts w:hint="eastAsia"/>
          <w:sz w:val="28"/>
          <w:szCs w:val="28"/>
        </w:rPr>
        <w:t xml:space="preserve">                           联系方式：</w:t>
      </w:r>
    </w:p>
    <w:p>
      <w:pPr>
        <w:jc w:val="right"/>
        <w:rPr>
          <w:sz w:val="28"/>
          <w:szCs w:val="28"/>
        </w:rPr>
      </w:pPr>
      <w:r>
        <w:rPr>
          <w:rFonts w:hint="eastAsia"/>
          <w:sz w:val="28"/>
          <w:szCs w:val="28"/>
        </w:rPr>
        <w:t xml:space="preserve">                       邮箱：</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lang w:eastAsia="zh-CN"/>
        </w:rPr>
      </w:pPr>
      <w:r>
        <w:rPr>
          <w:rFonts w:hint="eastAsia"/>
          <w:sz w:val="28"/>
          <w:szCs w:val="28"/>
        </w:rPr>
        <w:t xml:space="preserve">                           报价时间</w:t>
      </w:r>
      <w:r>
        <w:rPr>
          <w:rFonts w:hint="eastAsia"/>
          <w:sz w:val="28"/>
          <w:szCs w:val="28"/>
          <w:lang w:eastAsia="zh-CN"/>
        </w:rPr>
        <w:t>：</w:t>
      </w:r>
    </w:p>
    <w:p>
      <w:pPr>
        <w:pStyle w:val="12"/>
        <w:rPr>
          <w:rFonts w:hint="eastAsia"/>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4"/>
        </w:rPr>
      </w:pPr>
      <w:r>
        <w:rPr>
          <w:rFonts w:hint="eastAsia"/>
          <w:sz w:val="24"/>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 w:val="24"/>
        </w:rPr>
        <w:t>推荐产品的彩页、产品参数及配置清单、参数偏离情况表、医疗器械注册证、供应商证件、厂家证件、代理商授权书、销售人（授权代表）授权书、厂家售后服务承诺书、广东地区三甲医院客户名单（销售合同）</w:t>
      </w:r>
      <w:r>
        <w:rPr>
          <w:rFonts w:hint="eastAsia"/>
          <w:b/>
          <w:sz w:val="24"/>
          <w:lang w:val="en-US" w:eastAsia="zh-CN"/>
        </w:rPr>
        <w:t>等。</w:t>
      </w:r>
    </w:p>
    <w:p>
      <w:pPr>
        <w:spacing w:line="440" w:lineRule="exact"/>
        <w:jc w:val="center"/>
        <w:rPr>
          <w:b/>
          <w:sz w:val="32"/>
          <w:szCs w:val="32"/>
        </w:rPr>
      </w:pPr>
      <w:r>
        <w:rPr>
          <w:rFonts w:hint="eastAsia"/>
          <w:b/>
          <w:sz w:val="32"/>
          <w:szCs w:val="32"/>
        </w:rPr>
        <w:t>参数偏离情况表</w:t>
      </w:r>
    </w:p>
    <w:p>
      <w:pPr>
        <w:spacing w:line="440" w:lineRule="exact"/>
        <w:rPr>
          <w:sz w:val="24"/>
        </w:rPr>
      </w:pPr>
      <w:r>
        <w:rPr>
          <w:rFonts w:hint="eastAsia"/>
          <w:sz w:val="24"/>
        </w:rPr>
        <w:t>偏离表填写要求：</w:t>
      </w:r>
    </w:p>
    <w:p>
      <w:pPr>
        <w:spacing w:line="440" w:lineRule="exact"/>
        <w:rPr>
          <w:sz w:val="24"/>
        </w:rPr>
      </w:pPr>
      <w:r>
        <w:rPr>
          <w:rFonts w:hint="eastAsia"/>
          <w:sz w:val="24"/>
        </w:rPr>
        <w:t>1、请提供参数响应情况，正负偏离参数备注说明。</w:t>
      </w:r>
    </w:p>
    <w:p>
      <w:pPr>
        <w:spacing w:line="440" w:lineRule="exact"/>
        <w:rPr>
          <w:sz w:val="24"/>
        </w:rPr>
      </w:pPr>
      <w:r>
        <w:rPr>
          <w:rFonts w:hint="eastAsia"/>
          <w:sz w:val="24"/>
        </w:rPr>
        <w:t>2、明确写明在各组成部分名称下的主要或重要参数名称及技术参数。</w:t>
      </w:r>
    </w:p>
    <w:p>
      <w:pPr>
        <w:spacing w:line="440" w:lineRule="exact"/>
        <w:rPr>
          <w:sz w:val="24"/>
        </w:rPr>
      </w:pPr>
      <w:r>
        <w:rPr>
          <w:rFonts w:hint="eastAsia" w:ascii="宋体" w:hAnsi="宋体"/>
          <w:sz w:val="24"/>
        </w:rPr>
        <w:t>3、报价应包含完成项目所需的一切费用。</w:t>
      </w:r>
    </w:p>
    <w:p>
      <w:pPr>
        <w:spacing w:line="440" w:lineRule="exact"/>
        <w:rPr>
          <w:sz w:val="24"/>
        </w:rPr>
      </w:pPr>
      <w:r>
        <w:rPr>
          <w:rFonts w:hint="eastAsia"/>
          <w:sz w:val="24"/>
        </w:rPr>
        <w:t>4、提供推荐方案的产品配置清单。</w:t>
      </w:r>
    </w:p>
    <w:p>
      <w:pPr>
        <w:spacing w:line="440" w:lineRule="exact"/>
        <w:rPr>
          <w:sz w:val="24"/>
        </w:rPr>
      </w:pPr>
      <w:r>
        <w:rPr>
          <w:rFonts w:hint="eastAsia"/>
          <w:sz w:val="24"/>
        </w:rPr>
        <w:t>5、其中带★的参数 是必须完全响应的参数。</w:t>
      </w:r>
    </w:p>
    <w:p>
      <w:pPr>
        <w:spacing w:line="440" w:lineRule="exact"/>
        <w:rPr>
          <w:sz w:val="24"/>
        </w:rPr>
      </w:pPr>
      <w:r>
        <w:rPr>
          <w:rFonts w:hint="eastAsia"/>
          <w:sz w:val="24"/>
        </w:rPr>
        <w:t>6、供应商提供的产品负偏离占比不超过10%。</w:t>
      </w:r>
    </w:p>
    <w:p>
      <w:pPr>
        <w:spacing w:line="380" w:lineRule="exact"/>
        <w:rPr>
          <w:rFonts w:ascii="宋体" w:hAnsi="宋体"/>
          <w:szCs w:val="21"/>
        </w:rPr>
      </w:pPr>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sz w:val="24"/>
        </w:rPr>
        <w:t>（请按用户需求里的技术要求及配置要求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754"/>
        <w:gridCol w:w="172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754"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参数要求</w:t>
            </w:r>
          </w:p>
        </w:tc>
        <w:tc>
          <w:tcPr>
            <w:tcW w:w="1725" w:type="dxa"/>
            <w:vAlign w:val="center"/>
          </w:tcPr>
          <w:p>
            <w:pPr>
              <w:tabs>
                <w:tab w:val="left" w:pos="720"/>
              </w:tabs>
              <w:spacing w:line="440" w:lineRule="exact"/>
              <w:jc w:val="center"/>
              <w:rPr>
                <w:rFonts w:ascii="宋体" w:hAnsi="宋体" w:cs="宋体"/>
                <w:bCs/>
                <w:szCs w:val="21"/>
                <w:highlight w:val="none"/>
              </w:rPr>
            </w:pPr>
            <w:r>
              <w:rPr>
                <w:rFonts w:hint="eastAsia" w:ascii="宋体" w:hAnsi="宋体" w:cs="宋体"/>
                <w:bCs/>
                <w:szCs w:val="21"/>
                <w:highlight w:val="none"/>
              </w:rPr>
              <w:t>完全响应或</w:t>
            </w:r>
          </w:p>
          <w:p>
            <w:pPr>
              <w:autoSpaceDE w:val="0"/>
              <w:autoSpaceDN w:val="0"/>
              <w:adjustRightInd w:val="0"/>
              <w:spacing w:line="440" w:lineRule="exact"/>
              <w:jc w:val="center"/>
              <w:rPr>
                <w:rFonts w:hint="eastAsia" w:ascii="宋体" w:hAnsi="宋体" w:eastAsia="宋体" w:cs="宋体"/>
                <w:bCs/>
                <w:kern w:val="0"/>
                <w:sz w:val="21"/>
                <w:szCs w:val="21"/>
                <w:highlight w:val="none"/>
                <w:lang w:val="zh-CN" w:eastAsia="zh-CN" w:bidi="ar-SA"/>
              </w:rPr>
            </w:pPr>
            <w:r>
              <w:rPr>
                <w:rFonts w:hint="eastAsia" w:ascii="宋体" w:hAnsi="宋体" w:cs="宋体"/>
                <w:bCs/>
                <w:szCs w:val="21"/>
                <w:highlight w:val="none"/>
              </w:rPr>
              <w:t>正/负偏离</w:t>
            </w:r>
          </w:p>
        </w:tc>
        <w:tc>
          <w:tcPr>
            <w:tcW w:w="1347" w:type="dxa"/>
            <w:vAlign w:val="center"/>
          </w:tcPr>
          <w:p>
            <w:pPr>
              <w:autoSpaceDE w:val="0"/>
              <w:autoSpaceDN w:val="0"/>
              <w:adjustRightInd w:val="0"/>
              <w:spacing w:line="440" w:lineRule="exact"/>
              <w:jc w:val="center"/>
              <w:rPr>
                <w:rFonts w:hint="eastAsia" w:ascii="宋体" w:hAnsi="宋体" w:eastAsia="宋体" w:cs="宋体"/>
                <w:bCs/>
                <w:kern w:val="0"/>
                <w:sz w:val="21"/>
                <w:szCs w:val="21"/>
                <w:highlight w:val="none"/>
                <w:lang w:val="zh-CN" w:eastAsia="zh-CN" w:bidi="ar-SA"/>
              </w:rPr>
            </w:pPr>
            <w:r>
              <w:rPr>
                <w:rFonts w:hint="eastAsia" w:ascii="宋体" w:hAnsi="宋体" w:cs="宋体"/>
                <w:bCs/>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一</w:t>
            </w:r>
          </w:p>
        </w:tc>
        <w:tc>
          <w:tcPr>
            <w:tcW w:w="4754" w:type="dxa"/>
            <w:vAlign w:val="center"/>
          </w:tcPr>
          <w:p>
            <w:pPr>
              <w:spacing w:line="240" w:lineRule="auto"/>
              <w:jc w:val="both"/>
              <w:rPr>
                <w:rFonts w:hint="eastAsia" w:ascii="宋体" w:hAnsi="宋体" w:eastAsia="宋体" w:cs="宋体"/>
                <w:color w:val="000000"/>
                <w:kern w:val="2"/>
                <w:sz w:val="21"/>
                <w:szCs w:val="21"/>
                <w:lang w:val="en-US" w:eastAsia="zh-CN" w:bidi="ar-SA"/>
              </w:rPr>
            </w:pPr>
            <w:r>
              <w:rPr>
                <w:rFonts w:hint="eastAsia" w:ascii="仿宋" w:hAnsi="仿宋" w:eastAsia="仿宋" w:cs="仿宋"/>
                <w:b/>
                <w:bCs/>
                <w:color w:val="000000"/>
                <w:sz w:val="24"/>
                <w:szCs w:val="24"/>
                <w:lang w:val="en-US" w:eastAsia="zh-CN"/>
              </w:rPr>
              <w:t>组成及标准</w:t>
            </w:r>
          </w:p>
        </w:tc>
        <w:tc>
          <w:tcPr>
            <w:tcW w:w="1725" w:type="dxa"/>
            <w:vAlign w:val="top"/>
          </w:tcPr>
          <w:p>
            <w:pPr>
              <w:widowControl/>
              <w:textAlignment w:val="top"/>
              <w:rPr>
                <w:rFonts w:hint="eastAsia" w:ascii="宋体" w:hAnsi="宋体" w:cs="宋体"/>
                <w:b/>
                <w:bCs/>
                <w:kern w:val="0"/>
                <w:sz w:val="24"/>
                <w:highlight w:val="none"/>
                <w:lang w:bidi="ar"/>
              </w:rPr>
            </w:pPr>
          </w:p>
        </w:tc>
        <w:tc>
          <w:tcPr>
            <w:tcW w:w="1347" w:type="dxa"/>
            <w:vAlign w:val="top"/>
          </w:tcPr>
          <w:p>
            <w:pPr>
              <w:widowControl/>
              <w:textAlignment w:val="top"/>
              <w:rPr>
                <w:rFonts w:hint="eastAsia" w:ascii="宋体" w:hAnsi="宋体" w:cs="宋体"/>
                <w:b/>
                <w:bCs/>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1</w:t>
            </w:r>
          </w:p>
        </w:tc>
        <w:tc>
          <w:tcPr>
            <w:tcW w:w="4754" w:type="dxa"/>
            <w:vAlign w:val="center"/>
          </w:tcPr>
          <w:p>
            <w:pPr>
              <w:tabs>
                <w:tab w:val="left" w:pos="1075"/>
                <w:tab w:val="left" w:pos="2813"/>
              </w:tabs>
              <w:spacing w:line="240" w:lineRule="auto"/>
              <w:jc w:val="both"/>
              <w:textAlignment w:val="center"/>
              <w:rPr>
                <w:rFonts w:hint="eastAsia" w:ascii="宋体" w:hAnsi="宋体" w:eastAsia="宋体" w:cs="宋体"/>
                <w:color w:val="000000"/>
                <w:kern w:val="2"/>
                <w:sz w:val="21"/>
                <w:szCs w:val="21"/>
                <w:lang w:val="en-US" w:eastAsia="zh-CN" w:bidi="ar-SA"/>
              </w:rPr>
            </w:pPr>
            <w:r>
              <w:rPr>
                <w:rFonts w:hint="eastAsia" w:ascii="仿宋" w:hAnsi="仿宋" w:eastAsia="仿宋" w:cs="仿宋"/>
                <w:color w:val="000000"/>
                <w:kern w:val="0"/>
                <w:sz w:val="24"/>
                <w:szCs w:val="24"/>
              </w:rPr>
              <w:t>组成</w:t>
            </w:r>
            <w:r>
              <w:rPr>
                <w:rFonts w:hint="eastAsia" w:ascii="仿宋" w:hAnsi="仿宋" w:eastAsia="仿宋" w:cs="仿宋"/>
                <w:color w:val="000000"/>
                <w:kern w:val="0"/>
                <w:sz w:val="24"/>
                <w:szCs w:val="24"/>
                <w:lang w:val="en-US" w:eastAsia="zh-CN"/>
              </w:rPr>
              <w:t>：</w:t>
            </w:r>
            <w:r>
              <w:rPr>
                <w:rFonts w:hint="eastAsia" w:ascii="仿宋" w:hAnsi="仿宋" w:eastAsia="仿宋" w:cs="仿宋"/>
                <w:b w:val="0"/>
                <w:bCs w:val="0"/>
                <w:color w:val="000000"/>
                <w:kern w:val="0"/>
                <w:sz w:val="24"/>
                <w:szCs w:val="24"/>
                <w:lang w:val="en-US" w:eastAsia="zh-CN"/>
              </w:rPr>
              <w:t>清</w:t>
            </w:r>
            <w:r>
              <w:rPr>
                <w:rFonts w:hint="eastAsia" w:ascii="仿宋" w:hAnsi="仿宋" w:eastAsia="仿宋" w:cs="仿宋"/>
                <w:b w:val="0"/>
                <w:bCs w:val="0"/>
                <w:color w:val="000000"/>
                <w:kern w:val="0"/>
                <w:sz w:val="24"/>
                <w:szCs w:val="24"/>
              </w:rPr>
              <w:t>洗槽-</w:t>
            </w:r>
            <w:r>
              <w:rPr>
                <w:rFonts w:hint="eastAsia" w:ascii="仿宋" w:hAnsi="仿宋" w:eastAsia="仿宋" w:cs="仿宋"/>
                <w:b w:val="0"/>
                <w:bCs w:val="0"/>
                <w:color w:val="000000"/>
                <w:kern w:val="0"/>
                <w:sz w:val="24"/>
                <w:szCs w:val="24"/>
                <w:lang w:val="en-US" w:eastAsia="zh-CN"/>
              </w:rPr>
              <w:t>漂</w:t>
            </w:r>
            <w:r>
              <w:rPr>
                <w:rFonts w:hint="eastAsia" w:ascii="仿宋" w:hAnsi="仿宋" w:eastAsia="仿宋" w:cs="仿宋"/>
                <w:b w:val="0"/>
                <w:bCs w:val="0"/>
                <w:color w:val="000000"/>
                <w:kern w:val="0"/>
                <w:sz w:val="24"/>
                <w:szCs w:val="24"/>
              </w:rPr>
              <w:t>洗槽-浸泡消毒槽-末洗槽-干燥</w:t>
            </w:r>
            <w:r>
              <w:rPr>
                <w:rFonts w:hint="eastAsia" w:ascii="仿宋" w:hAnsi="仿宋" w:eastAsia="仿宋" w:cs="仿宋"/>
                <w:b w:val="0"/>
                <w:bCs w:val="0"/>
                <w:color w:val="000000"/>
                <w:kern w:val="0"/>
                <w:sz w:val="24"/>
                <w:szCs w:val="24"/>
                <w:lang w:val="en-US" w:eastAsia="zh-CN"/>
              </w:rPr>
              <w:t>台。</w:t>
            </w:r>
          </w:p>
        </w:tc>
        <w:tc>
          <w:tcPr>
            <w:tcW w:w="1725" w:type="dxa"/>
            <w:vAlign w:val="top"/>
          </w:tcPr>
          <w:p>
            <w:pPr>
              <w:widowControl/>
              <w:textAlignment w:val="top"/>
              <w:rPr>
                <w:rFonts w:hint="eastAsia" w:ascii="宋体" w:hAnsi="宋体" w:cs="宋体"/>
                <w:b/>
                <w:bCs/>
                <w:kern w:val="0"/>
                <w:sz w:val="24"/>
                <w:highlight w:val="none"/>
                <w:lang w:bidi="ar"/>
              </w:rPr>
            </w:pPr>
          </w:p>
        </w:tc>
        <w:tc>
          <w:tcPr>
            <w:tcW w:w="1347" w:type="dxa"/>
            <w:vAlign w:val="top"/>
          </w:tcPr>
          <w:p>
            <w:pPr>
              <w:widowControl/>
              <w:textAlignment w:val="top"/>
              <w:rPr>
                <w:rFonts w:hint="eastAsia" w:ascii="宋体" w:hAnsi="宋体" w:cs="宋体"/>
                <w:b/>
                <w:bCs/>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ascii="仿宋" w:hAnsi="仿宋" w:eastAsia="仿宋" w:cs="仿宋"/>
                <w:color w:val="000000"/>
                <w:kern w:val="2"/>
                <w:sz w:val="24"/>
                <w:szCs w:val="24"/>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1.2</w:t>
            </w:r>
          </w:p>
        </w:tc>
        <w:tc>
          <w:tcPr>
            <w:tcW w:w="4754" w:type="dxa"/>
            <w:vAlign w:val="center"/>
          </w:tcPr>
          <w:p>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color w:val="000000"/>
                <w:kern w:val="2"/>
                <w:sz w:val="21"/>
                <w:szCs w:val="21"/>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整体设备符合GB 4793.1-2007要求；防电击保护的结构符合GB 4793.1（6.9.1、6.9.2）要求；供电电源的断开符合GB 4793.1（6.11.2.2、6.11.3）要求。</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ascii="仿宋" w:hAnsi="仿宋" w:eastAsia="仿宋" w:cs="仿宋"/>
                <w:color w:val="000000"/>
                <w:kern w:val="2"/>
                <w:sz w:val="24"/>
                <w:szCs w:val="24"/>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1.3</w:t>
            </w:r>
          </w:p>
        </w:tc>
        <w:tc>
          <w:tcPr>
            <w:tcW w:w="4754" w:type="dxa"/>
            <w:vAlign w:val="center"/>
          </w:tcPr>
          <w:p>
            <w:pPr>
              <w:widowControl/>
              <w:numPr>
                <w:ilvl w:val="0"/>
                <w:numId w:val="0"/>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color w:val="000000"/>
                <w:kern w:val="2"/>
                <w:sz w:val="21"/>
                <w:szCs w:val="21"/>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防器械的危险符合GB 4793.1（7.2、7.3）要求。</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ascii="仿宋" w:hAnsi="仿宋" w:eastAsia="仿宋" w:cs="仿宋"/>
                <w:color w:val="000000"/>
                <w:kern w:val="2"/>
                <w:sz w:val="24"/>
                <w:szCs w:val="24"/>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1.4</w:t>
            </w:r>
          </w:p>
        </w:tc>
        <w:tc>
          <w:tcPr>
            <w:tcW w:w="4754" w:type="dxa"/>
            <w:vAlign w:val="center"/>
          </w:tcPr>
          <w:p>
            <w:pPr>
              <w:widowControl/>
              <w:numPr>
                <w:ilvl w:val="0"/>
                <w:numId w:val="0"/>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color w:val="000000"/>
                <w:kern w:val="2"/>
                <w:sz w:val="21"/>
                <w:szCs w:val="21"/>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设备耐冲击和撞击符合GB 4793.1中规定要求；设备防火或着火符合GB 4793.1中规定要求；设备保护连接符合GB 4793.1（6.5.1.1、6.5.1.2）要求。</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1.5</w:t>
            </w:r>
          </w:p>
        </w:tc>
        <w:tc>
          <w:tcPr>
            <w:tcW w:w="4754" w:type="dxa"/>
            <w:vAlign w:val="center"/>
          </w:tcPr>
          <w:p>
            <w:pPr>
              <w:widowControl/>
              <w:numPr>
                <w:ilvl w:val="0"/>
                <w:numId w:val="0"/>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color w:val="000000"/>
                <w:kern w:val="2"/>
                <w:sz w:val="21"/>
                <w:szCs w:val="21"/>
                <w:lang w:val="en-US" w:eastAsia="zh-CN" w:bidi="ar-SA"/>
              </w:rPr>
            </w:pPr>
            <w:r>
              <w:rPr>
                <w:rStyle w:val="18"/>
                <w:rFonts w:hint="eastAsia" w:ascii="仿宋" w:hAnsi="仿宋" w:eastAsia="仿宋" w:cs="仿宋"/>
                <w:b w:val="0"/>
                <w:i w:val="0"/>
                <w:caps w:val="0"/>
                <w:spacing w:val="0"/>
                <w:w w:val="100"/>
                <w:kern w:val="2"/>
                <w:sz w:val="24"/>
                <w:szCs w:val="24"/>
                <w:lang w:val="en-US" w:eastAsia="zh-CN" w:bidi="ar-SA"/>
              </w:rPr>
              <w:t>设备正常条件下防护基本绝缘。</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color w:val="000000"/>
                <w:kern w:val="0"/>
                <w:sz w:val="24"/>
                <w:szCs w:val="24"/>
                <w:lang w:val="en-US" w:eastAsia="zh-CN"/>
              </w:rPr>
              <w:t>二</w:t>
            </w:r>
          </w:p>
        </w:tc>
        <w:tc>
          <w:tcPr>
            <w:tcW w:w="4754" w:type="dxa"/>
            <w:vAlign w:val="center"/>
          </w:tcPr>
          <w:p>
            <w:pPr>
              <w:widowControl/>
              <w:tabs>
                <w:tab w:val="left" w:pos="1075"/>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b/>
                <w:color w:val="000000"/>
                <w:kern w:val="0"/>
                <w:sz w:val="24"/>
                <w:szCs w:val="24"/>
              </w:rPr>
              <w:t>台面、清洗槽、干燥台、功能背板</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2.1</w:t>
            </w:r>
          </w:p>
        </w:tc>
        <w:tc>
          <w:tcPr>
            <w:tcW w:w="4754" w:type="dxa"/>
            <w:vAlign w:val="center"/>
          </w:tcPr>
          <w:p>
            <w:pPr>
              <w:widowControl/>
              <w:tabs>
                <w:tab w:val="left" w:pos="1075"/>
                <w:tab w:val="left" w:pos="281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rPr>
              <w:t>材质：采用高分子复合材料PMMA经多层复合、一次压铸而成，表面附杜邦抗菌材料，平整光滑，无锋角接缝，耐酸碱腐蚀和磨损，容易清洁，对人体又无毒性；单个槽体可承受超过60kg的压力，但质地柔软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能最大限度的保护内镜受硬冲击而造成的损坏。</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2.2</w:t>
            </w:r>
          </w:p>
        </w:tc>
        <w:tc>
          <w:tcPr>
            <w:tcW w:w="4754" w:type="dxa"/>
            <w:vAlign w:val="center"/>
          </w:tcPr>
          <w:p>
            <w:pPr>
              <w:widowControl/>
              <w:tabs>
                <w:tab w:val="left" w:pos="1075"/>
                <w:tab w:val="left" w:pos="281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lang w:val="en-US" w:eastAsia="zh-CN"/>
              </w:rPr>
              <w:t>功</w:t>
            </w:r>
            <w:r>
              <w:rPr>
                <w:rFonts w:hint="eastAsia" w:ascii="仿宋" w:hAnsi="仿宋" w:eastAsia="仿宋" w:cs="仿宋"/>
                <w:color w:val="000000"/>
                <w:kern w:val="0"/>
                <w:sz w:val="24"/>
                <w:szCs w:val="24"/>
              </w:rPr>
              <w:t>能背板的设计：以实际场地尺寸为依据，台面和洗消槽均采用防泛水设计，前高后低、使清洗时溅到台面的液体能全部流入下水道；有效的防止了内镜和其它正在干燥的附件意外滑落，全方位考虑人性化的要求和内镜的安全。台面前端采用大圆弧造型设计，为洗消人员提供腰、腹部的得力支撑，有效减轻洗消人员的疲劳度。功能背板整体简洁大方，方便操作人员快速洗消。</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2.3</w:t>
            </w:r>
          </w:p>
        </w:tc>
        <w:tc>
          <w:tcPr>
            <w:tcW w:w="4754" w:type="dxa"/>
            <w:vAlign w:val="center"/>
          </w:tcPr>
          <w:p>
            <w:pPr>
              <w:widowControl/>
              <w:tabs>
                <w:tab w:val="left" w:pos="1075"/>
                <w:tab w:val="left" w:pos="281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rPr>
              <w:t>槽盖材质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盖子本身及把手全部</w:t>
            </w:r>
            <w:r>
              <w:rPr>
                <w:rFonts w:hint="eastAsia" w:ascii="仿宋" w:hAnsi="仿宋" w:eastAsia="仿宋" w:cs="仿宋"/>
                <w:color w:val="000000"/>
                <w:kern w:val="0"/>
                <w:sz w:val="24"/>
                <w:szCs w:val="24"/>
              </w:rPr>
              <w:t>采用透明的高分子复合材料PMMA经多层复合、一次压铸而成，耐酸碱腐蚀和磨损，容易清洁，对人体又无毒性。</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2.4</w:t>
            </w:r>
          </w:p>
        </w:tc>
        <w:tc>
          <w:tcPr>
            <w:tcW w:w="4754" w:type="dxa"/>
            <w:vAlign w:val="center"/>
          </w:tcPr>
          <w:p>
            <w:pPr>
              <w:widowControl/>
              <w:tabs>
                <w:tab w:val="left" w:pos="1075"/>
                <w:tab w:val="left" w:pos="281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rPr>
              <w:t>★清洗槽规格尺寸：外槽尺寸长≤705mm，宽≤710mm，内槽净空尺寸长≥545mm，宽≥470mm，整套工作站可根据场地选择中背板还是高背板。</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三</w:t>
            </w:r>
          </w:p>
        </w:tc>
        <w:tc>
          <w:tcPr>
            <w:tcW w:w="4754" w:type="dxa"/>
            <w:vAlign w:val="center"/>
          </w:tcPr>
          <w:p>
            <w:pPr>
              <w:widowControl/>
              <w:tabs>
                <w:tab w:val="left" w:pos="1075"/>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b/>
                <w:color w:val="000000"/>
                <w:kern w:val="0"/>
                <w:sz w:val="24"/>
                <w:szCs w:val="24"/>
              </w:rPr>
              <w:t>附件</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3.1</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rPr>
              <w:t>★多功能自动灌流器</w:t>
            </w:r>
            <w:r>
              <w:rPr>
                <w:rFonts w:hint="eastAsia" w:ascii="仿宋" w:hAnsi="仿宋" w:eastAsia="仿宋" w:cs="仿宋"/>
                <w:color w:val="000000"/>
                <w:kern w:val="0"/>
                <w:sz w:val="24"/>
                <w:szCs w:val="24"/>
                <w:lang w:eastAsia="zh-CN"/>
              </w:rPr>
              <w:t>：</w:t>
            </w:r>
            <w:r>
              <w:rPr>
                <w:rStyle w:val="19"/>
                <w:rFonts w:hint="eastAsia" w:ascii="仿宋" w:hAnsi="仿宋" w:eastAsia="仿宋" w:cs="仿宋"/>
                <w:sz w:val="24"/>
                <w:szCs w:val="24"/>
              </w:rPr>
              <w:t>采用</w:t>
            </w:r>
            <w:r>
              <w:rPr>
                <w:rStyle w:val="19"/>
                <w:rFonts w:hint="eastAsia" w:ascii="仿宋" w:hAnsi="仿宋" w:eastAsia="仿宋" w:cs="仿宋"/>
                <w:sz w:val="24"/>
                <w:szCs w:val="24"/>
                <w:lang w:val="en-US" w:eastAsia="zh-CN"/>
              </w:rPr>
              <w:t>电容式防水液晶触摸屏</w:t>
            </w:r>
            <w:r>
              <w:rPr>
                <w:rStyle w:val="19"/>
                <w:rFonts w:hint="eastAsia" w:ascii="仿宋" w:hAnsi="仿宋" w:eastAsia="仿宋" w:cs="仿宋"/>
                <w:sz w:val="24"/>
                <w:szCs w:val="24"/>
              </w:rPr>
              <w:t>设计，</w:t>
            </w:r>
            <w:r>
              <w:rPr>
                <w:rStyle w:val="19"/>
                <w:rFonts w:hint="eastAsia" w:ascii="仿宋" w:hAnsi="仿宋" w:eastAsia="仿宋" w:cs="仿宋"/>
                <w:sz w:val="24"/>
                <w:szCs w:val="24"/>
                <w:lang w:val="en-US" w:eastAsia="zh-CN"/>
              </w:rPr>
              <w:t>而非薄膜按键或微动开关按键，液晶屏尺寸</w:t>
            </w:r>
            <w:r>
              <w:rPr>
                <w:rStyle w:val="19"/>
                <w:rFonts w:hint="eastAsia" w:ascii="仿宋" w:hAnsi="仿宋" w:eastAsia="仿宋" w:cs="仿宋"/>
                <w:sz w:val="24"/>
                <w:szCs w:val="24"/>
              </w:rPr>
              <w:t>≥</w:t>
            </w:r>
            <w:r>
              <w:rPr>
                <w:rStyle w:val="19"/>
                <w:rFonts w:hint="eastAsia" w:ascii="仿宋" w:hAnsi="仿宋" w:eastAsia="仿宋" w:cs="仿宋"/>
                <w:sz w:val="24"/>
                <w:szCs w:val="24"/>
                <w:lang w:val="en-US" w:eastAsia="zh-CN"/>
              </w:rPr>
              <w:t>100*55mm，全自动完成：“脉动”注液、注气吸引、计时，使操作更加简洁、方便，有效地保证了内镜洗消达标。</w:t>
            </w:r>
            <w:r>
              <w:rPr>
                <w:rStyle w:val="19"/>
                <w:rFonts w:hint="eastAsia" w:ascii="仿宋" w:hAnsi="仿宋" w:eastAsia="仿宋" w:cs="仿宋"/>
                <w:sz w:val="24"/>
                <w:szCs w:val="24"/>
              </w:rPr>
              <w:t>全程自动控制，省去了手工灌流的麻烦，节约了劳动力，提高了工作效率</w:t>
            </w:r>
            <w:r>
              <w:rPr>
                <w:rStyle w:val="19"/>
                <w:rFonts w:hint="eastAsia" w:ascii="仿宋" w:hAnsi="仿宋" w:eastAsia="仿宋" w:cs="仿宋"/>
                <w:sz w:val="24"/>
                <w:szCs w:val="24"/>
                <w:lang w:eastAsia="zh-CN"/>
              </w:rPr>
              <w:t>。</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3.2</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Style w:val="19"/>
                <w:rFonts w:hint="eastAsia" w:ascii="仿宋" w:hAnsi="仿宋" w:eastAsia="仿宋" w:cs="仿宋"/>
                <w:sz w:val="24"/>
                <w:szCs w:val="24"/>
                <w:lang w:val="en-US" w:eastAsia="zh-CN"/>
              </w:rPr>
              <w:t>水处理器：5µm+1µm活性碳+0.2µm，三重过滤。</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3.3</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Style w:val="19"/>
                <w:rFonts w:hint="eastAsia" w:ascii="仿宋" w:hAnsi="仿宋" w:eastAsia="仿宋" w:cs="仿宋"/>
                <w:sz w:val="24"/>
                <w:szCs w:val="24"/>
                <w:lang w:val="en-US" w:eastAsia="zh-CN"/>
              </w:rPr>
              <w:t>医用无油空气压缩机：采用无油活塞式设计，保证压缩气体中绝无油分子，配水气分离系统，压力可在0-0.8Mpa之间调节，气罐一次性储气量不低于25L。主机产气量≥60L/min，噪音≤55分贝，并可精确调节气枪压力，调节范围0-0.8MPa</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3.4</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Style w:val="19"/>
                <w:rFonts w:hint="eastAsia" w:ascii="仿宋" w:hAnsi="仿宋" w:eastAsia="仿宋" w:cs="仿宋"/>
                <w:sz w:val="24"/>
                <w:szCs w:val="24"/>
                <w:lang w:val="en-US" w:eastAsia="zh-CN"/>
              </w:rPr>
              <w:t>高压水枪气枪：枪体采用SUS304不锈钢，防止内腔腐蚀生锈，避免二次污染，配备标准清洗喷嘴，清洗喷嘴与枪体之间可以任意更换，适合不同类型的内镜管道，对内镜管道及手术器械管壁进行彻底冲洗；耐受压力0-0.7MPa。</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3.5</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Style w:val="19"/>
                <w:rFonts w:hint="eastAsia" w:ascii="仿宋" w:hAnsi="仿宋" w:eastAsia="仿宋" w:cs="仿宋"/>
                <w:sz w:val="24"/>
                <w:szCs w:val="24"/>
                <w:lang w:val="en-US" w:eastAsia="zh-CN"/>
              </w:rPr>
              <w:t>不锈钢水龙头：全优质SUS304不锈钢材质折叠水龙头，选用陶瓷阀芯和出水嘴的起泡器过滤件，360度旋转式设计，有冷热水接口，冷热水开关独立控制，方便灵活，流量≥0.2L/s，多层防腐防锈处理，镀层按GB/T 10125经过24h酸性盐雾试验后，可承受强酸强碱环境的使用。</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3.6</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sz w:val="24"/>
                <w:szCs w:val="24"/>
                <w:lang w:val="en-US" w:eastAsia="zh-CN"/>
              </w:rPr>
              <w:t>管件管路阀门：</w:t>
            </w:r>
            <w:r>
              <w:rPr>
                <w:rFonts w:hint="eastAsia" w:ascii="仿宋" w:hAnsi="仿宋" w:eastAsia="仿宋" w:cs="仿宋"/>
                <w:color w:val="000000"/>
                <w:kern w:val="0"/>
                <w:sz w:val="24"/>
                <w:szCs w:val="24"/>
              </w:rPr>
              <w:t>内镜清洗消毒工作站的管件、管路和阀门符合YY/T 0734.1-2009中4.11的要求，在运行过程中，功能槽、管路和相关部件均不出现泄漏</w:t>
            </w:r>
            <w:r>
              <w:rPr>
                <w:rFonts w:hint="eastAsia" w:ascii="仿宋" w:hAnsi="仿宋" w:eastAsia="仿宋" w:cs="仿宋"/>
                <w:color w:val="000000"/>
                <w:kern w:val="0"/>
                <w:sz w:val="24"/>
                <w:szCs w:val="24"/>
                <w:lang w:eastAsia="zh-CN"/>
              </w:rPr>
              <w:t>。</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3.7</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lang w:val="en-US" w:eastAsia="zh-CN"/>
              </w:rPr>
              <w:t>过滤装置</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lang w:val="en-US" w:eastAsia="zh-CN"/>
              </w:rPr>
              <w:t>洗槽的冲洗装置具有过滤功能，过滤网孔径≦250µm。</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3.8</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kern w:val="0"/>
                <w:sz w:val="24"/>
                <w:szCs w:val="24"/>
              </w:rPr>
              <w:t>气体过滤调压器</w:t>
            </w:r>
            <w:r>
              <w:rPr>
                <w:rFonts w:hint="eastAsia" w:ascii="仿宋" w:hAnsi="仿宋" w:eastAsia="仿宋" w:cs="仿宋"/>
                <w:kern w:val="0"/>
                <w:sz w:val="24"/>
                <w:szCs w:val="24"/>
                <w:lang w:eastAsia="zh-CN"/>
              </w:rPr>
              <w:t>：</w:t>
            </w:r>
            <w:r>
              <w:rPr>
                <w:rFonts w:hint="eastAsia" w:ascii="仿宋" w:hAnsi="仿宋" w:eastAsia="仿宋" w:cs="仿宋"/>
                <w:bCs/>
                <w:kern w:val="24"/>
                <w:sz w:val="24"/>
                <w:szCs w:val="24"/>
              </w:rPr>
              <w:t>过滤精度大于等于99%；</w:t>
            </w:r>
            <w:r>
              <w:rPr>
                <w:rFonts w:hint="eastAsia" w:ascii="仿宋" w:hAnsi="仿宋" w:eastAsia="仿宋" w:cs="仿宋"/>
                <w:kern w:val="0"/>
                <w:sz w:val="24"/>
                <w:szCs w:val="24"/>
              </w:rPr>
              <w:t>气体处理器2套，气压调节范围：0～0.8Mpa，分离空气中的水分及其它杂质，为内镜洗消提供干燥纯净的压力空气；并另外设有注气压力调节器（不高于0.02Mpa）。</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3.9</w:t>
            </w:r>
          </w:p>
        </w:tc>
        <w:tc>
          <w:tcPr>
            <w:tcW w:w="4754" w:type="dxa"/>
            <w:vAlign w:val="center"/>
          </w:tcPr>
          <w:p>
            <w:pPr>
              <w:tabs>
                <w:tab w:val="left" w:pos="1075"/>
                <w:tab w:val="left" w:pos="3523"/>
              </w:tabs>
              <w:spacing w:line="240" w:lineRule="auto"/>
              <w:jc w:val="both"/>
              <w:rPr>
                <w:rFonts w:hint="eastAsia" w:ascii="宋体" w:hAnsi="宋体" w:eastAsia="宋体" w:cs="宋体"/>
                <w:kern w:val="2"/>
                <w:sz w:val="21"/>
                <w:szCs w:val="24"/>
                <w:lang w:val="en-US" w:eastAsia="zh-CN" w:bidi="ar-SA"/>
              </w:rPr>
            </w:pPr>
            <w:r>
              <w:rPr>
                <w:rFonts w:hint="eastAsia" w:ascii="仿宋" w:hAnsi="仿宋" w:eastAsia="仿宋" w:cs="仿宋"/>
                <w:bCs/>
                <w:kern w:val="24"/>
                <w:sz w:val="24"/>
                <w:szCs w:val="24"/>
              </w:rPr>
              <w:t>干燥台</w:t>
            </w:r>
            <w:r>
              <w:rPr>
                <w:rFonts w:hint="eastAsia" w:ascii="仿宋" w:hAnsi="仿宋" w:eastAsia="仿宋" w:cs="仿宋"/>
                <w:bCs/>
                <w:kern w:val="24"/>
                <w:sz w:val="24"/>
                <w:szCs w:val="24"/>
                <w:lang w:eastAsia="zh-CN"/>
              </w:rPr>
              <w:t>：</w:t>
            </w:r>
            <w:r>
              <w:rPr>
                <w:rFonts w:hint="eastAsia" w:ascii="仿宋" w:hAnsi="仿宋" w:eastAsia="仿宋" w:cs="仿宋"/>
                <w:bCs/>
                <w:kern w:val="24"/>
                <w:sz w:val="24"/>
                <w:szCs w:val="24"/>
              </w:rPr>
              <w:t>具有条纹而非圆形凸起结构，有利于内镜干燥，能有效防止内镜和其它正在干燥的附件等意外滑落，更加全方位地呵护内镜及附件等。</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bCs/>
                <w:color w:val="000000"/>
                <w:sz w:val="24"/>
                <w:szCs w:val="24"/>
                <w:lang w:val="en-US" w:eastAsia="zh-CN"/>
              </w:rPr>
              <w:t>四</w:t>
            </w:r>
          </w:p>
        </w:tc>
        <w:tc>
          <w:tcPr>
            <w:tcW w:w="4754" w:type="dxa"/>
            <w:vAlign w:val="center"/>
          </w:tcPr>
          <w:p>
            <w:pPr>
              <w:widowControl/>
              <w:tabs>
                <w:tab w:val="left" w:pos="1075"/>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b/>
                <w:color w:val="000000"/>
                <w:kern w:val="0"/>
                <w:sz w:val="24"/>
                <w:szCs w:val="24"/>
              </w:rPr>
              <w:t>控制系统</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4.1</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rPr>
              <w:t>★控制器：采用液晶触摸屏，PLC控制，各状态功能均有微电脑控制隐藏式设计，显示屏实时显示自动灌流状态。</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4.2</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color w:val="000000"/>
                <w:kern w:val="0"/>
                <w:sz w:val="24"/>
                <w:szCs w:val="24"/>
              </w:rPr>
              <w:t>酒精灌流系统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采用液晶</w:t>
            </w:r>
            <w:r>
              <w:rPr>
                <w:rFonts w:hint="eastAsia" w:ascii="仿宋" w:hAnsi="仿宋" w:eastAsia="仿宋" w:cs="仿宋"/>
                <w:color w:val="000000"/>
                <w:kern w:val="0"/>
                <w:sz w:val="24"/>
                <w:szCs w:val="24"/>
                <w:lang w:val="en-US" w:eastAsia="zh-CN"/>
              </w:rPr>
              <w:t>触摸屏</w:t>
            </w:r>
            <w:r>
              <w:rPr>
                <w:rFonts w:hint="eastAsia" w:ascii="仿宋" w:hAnsi="仿宋" w:eastAsia="仿宋" w:cs="仿宋"/>
                <w:color w:val="000000"/>
                <w:kern w:val="0"/>
                <w:sz w:val="24"/>
                <w:szCs w:val="24"/>
              </w:rPr>
              <w:t>显示屏页面丰富，各流程功能均有微电脑精确控制，隐藏式设计，按键摒弃传统机械按键采用触摸控制按键，按键时有应答声提示按键是否作用，流程工作时详细信息均能展示，控制器工作电压为12V，安全可靠，一键启停，操作简单方便</w:t>
            </w:r>
            <w:r>
              <w:rPr>
                <w:rFonts w:hint="eastAsia" w:ascii="仿宋" w:hAnsi="仿宋" w:eastAsia="仿宋" w:cs="仿宋"/>
                <w:color w:val="000000"/>
                <w:kern w:val="0"/>
                <w:sz w:val="24"/>
                <w:szCs w:val="24"/>
                <w:lang w:eastAsia="zh-CN"/>
              </w:rPr>
              <w:t>。</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w:t>
            </w:r>
          </w:p>
        </w:tc>
        <w:tc>
          <w:tcPr>
            <w:tcW w:w="4754" w:type="dxa"/>
            <w:vAlign w:val="center"/>
          </w:tcPr>
          <w:p>
            <w:pPr>
              <w:widowControl/>
              <w:tabs>
                <w:tab w:val="left" w:pos="1075"/>
                <w:tab w:val="left" w:pos="3523"/>
              </w:tabs>
              <w:spacing w:line="240" w:lineRule="auto"/>
              <w:jc w:val="both"/>
              <w:textAlignment w:val="center"/>
              <w:rPr>
                <w:rFonts w:hint="eastAsia" w:ascii="宋体" w:hAnsi="宋体" w:eastAsia="宋体" w:cs="宋体"/>
                <w:kern w:val="2"/>
                <w:sz w:val="21"/>
                <w:szCs w:val="24"/>
                <w:lang w:val="en-US" w:eastAsia="zh-CN" w:bidi="ar-SA"/>
              </w:rPr>
            </w:pPr>
            <w:r>
              <w:rPr>
                <w:rFonts w:hint="eastAsia" w:ascii="仿宋" w:hAnsi="仿宋" w:eastAsia="仿宋" w:cs="仿宋"/>
                <w:b/>
                <w:sz w:val="24"/>
                <w:highlight w:val="cyan"/>
              </w:rPr>
              <w:t>★</w:t>
            </w:r>
            <w:r>
              <w:rPr>
                <w:rFonts w:hint="eastAsia" w:ascii="仿宋" w:hAnsi="仿宋" w:eastAsia="仿宋" w:cs="仿宋"/>
                <w:b/>
                <w:sz w:val="24"/>
                <w:highlight w:val="cyan"/>
                <w:lang w:val="en-US" w:eastAsia="zh-CN"/>
              </w:rPr>
              <w:t>如</w:t>
            </w:r>
            <w:r>
              <w:rPr>
                <w:rFonts w:hint="eastAsia" w:ascii="仿宋" w:hAnsi="仿宋" w:eastAsia="仿宋" w:cs="仿宋"/>
                <w:b/>
                <w:sz w:val="24"/>
                <w:highlight w:val="cyan"/>
              </w:rPr>
              <w:t>有配套</w:t>
            </w:r>
            <w:r>
              <w:rPr>
                <w:rFonts w:hint="eastAsia" w:ascii="仿宋" w:hAnsi="仿宋" w:eastAsia="仿宋" w:cs="仿宋"/>
                <w:b/>
                <w:sz w:val="24"/>
                <w:highlight w:val="cyan"/>
                <w:lang w:val="en-US" w:eastAsia="zh-CN"/>
              </w:rPr>
              <w:t>医用</w:t>
            </w:r>
            <w:r>
              <w:rPr>
                <w:rFonts w:hint="eastAsia" w:ascii="仿宋" w:hAnsi="仿宋" w:eastAsia="仿宋" w:cs="仿宋"/>
                <w:b/>
                <w:sz w:val="24"/>
                <w:highlight w:val="cyan"/>
              </w:rPr>
              <w:t>耗材：</w:t>
            </w:r>
            <w:r>
              <w:rPr>
                <w:rFonts w:hint="eastAsia" w:ascii="仿宋" w:hAnsi="仿宋" w:eastAsia="仿宋" w:cs="仿宋"/>
                <w:b/>
                <w:sz w:val="24"/>
                <w:highlight w:val="cyan"/>
                <w:lang w:val="en-US" w:eastAsia="zh-CN"/>
              </w:rPr>
              <w:t>必须</w:t>
            </w:r>
            <w:r>
              <w:rPr>
                <w:rFonts w:hint="eastAsia" w:ascii="仿宋" w:hAnsi="仿宋" w:eastAsia="仿宋" w:cs="仿宋"/>
                <w:b/>
                <w:sz w:val="24"/>
                <w:highlight w:val="cyan"/>
              </w:rPr>
              <w:t>提供国家医保耗材代码，必须提供广东省药品电子交易平台的药交ID和联盟区限价。</w:t>
            </w:r>
            <w:r>
              <w:rPr>
                <w:rFonts w:hint="eastAsia" w:ascii="仿宋" w:hAnsi="仿宋" w:eastAsia="仿宋" w:cs="仿宋"/>
                <w:b/>
                <w:sz w:val="24"/>
                <w:highlight w:val="cyan"/>
                <w:lang w:eastAsia="zh-CN"/>
              </w:rPr>
              <w:t>（</w:t>
            </w:r>
            <w:r>
              <w:rPr>
                <w:rFonts w:hint="eastAsia" w:ascii="仿宋" w:hAnsi="仿宋" w:eastAsia="仿宋" w:cs="仿宋"/>
                <w:b/>
                <w:sz w:val="24"/>
                <w:highlight w:val="cyan"/>
                <w:lang w:val="en-US" w:eastAsia="zh-CN"/>
              </w:rPr>
              <w:t>如无配套医用耗材，请备注</w:t>
            </w:r>
            <w:r>
              <w:rPr>
                <w:rFonts w:hint="eastAsia" w:ascii="仿宋" w:hAnsi="仿宋" w:eastAsia="仿宋" w:cs="仿宋"/>
                <w:b/>
                <w:sz w:val="24"/>
                <w:highlight w:val="cyan"/>
                <w:lang w:eastAsia="zh-CN"/>
              </w:rPr>
              <w:t>）</w:t>
            </w:r>
          </w:p>
        </w:tc>
        <w:tc>
          <w:tcPr>
            <w:tcW w:w="1725" w:type="dxa"/>
            <w:vAlign w:val="top"/>
          </w:tcPr>
          <w:p>
            <w:pPr>
              <w:widowControl/>
              <w:textAlignment w:val="top"/>
              <w:rPr>
                <w:rFonts w:hint="eastAsia" w:ascii="宋体" w:hAnsi="宋体" w:cs="宋体"/>
                <w:kern w:val="0"/>
                <w:sz w:val="24"/>
                <w:highlight w:val="none"/>
                <w:lang w:bidi="ar"/>
              </w:rPr>
            </w:pPr>
          </w:p>
        </w:tc>
        <w:tc>
          <w:tcPr>
            <w:tcW w:w="1347" w:type="dxa"/>
            <w:vAlign w:val="top"/>
          </w:tcPr>
          <w:p>
            <w:pPr>
              <w:widowControl/>
              <w:textAlignment w:val="top"/>
              <w:rPr>
                <w:rFonts w:hint="eastAsia" w:ascii="宋体" w:hAnsi="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w:t>
            </w:r>
          </w:p>
        </w:tc>
        <w:tc>
          <w:tcPr>
            <w:tcW w:w="4754" w:type="dxa"/>
            <w:vAlign w:val="center"/>
          </w:tcPr>
          <w:p>
            <w:pPr>
              <w:numPr>
                <w:ilvl w:val="0"/>
                <w:numId w:val="0"/>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805"/>
              <w:gridCol w:w="88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510"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1145"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数量</w:t>
                  </w:r>
                </w:p>
              </w:tc>
              <w:tc>
                <w:tcPr>
                  <w:tcW w:w="1514"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洗、消槽</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4</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功能背板</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5</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干燥台</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多功能灌流器</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4</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color w:val="000000"/>
                      <w:sz w:val="21"/>
                      <w:szCs w:val="21"/>
                    </w:rPr>
                    <w:t>高压水枪</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color w:val="000000"/>
                      <w:sz w:val="21"/>
                      <w:szCs w:val="21"/>
                    </w:rPr>
                    <w:t>高压气枪</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color w:val="000000"/>
                      <w:sz w:val="21"/>
                      <w:szCs w:val="21"/>
                    </w:rPr>
                    <w:t>无油静音空压机</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2510" w:type="dxa"/>
                  <w:noWrap w:val="0"/>
                  <w:vAlign w:val="center"/>
                </w:tcPr>
                <w:p>
                  <w:pPr>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color w:val="000000"/>
                      <w:sz w:val="21"/>
                      <w:szCs w:val="21"/>
                    </w:rPr>
                    <w:t>不锈钢</w:t>
                  </w:r>
                  <w:r>
                    <w:rPr>
                      <w:rFonts w:hint="eastAsia" w:ascii="仿宋" w:hAnsi="仿宋" w:eastAsia="仿宋" w:cs="仿宋"/>
                      <w:color w:val="000000"/>
                      <w:sz w:val="21"/>
                      <w:szCs w:val="21"/>
                      <w:lang w:val="en-US" w:eastAsia="zh-CN"/>
                    </w:rPr>
                    <w:t>折叠</w:t>
                  </w:r>
                  <w:r>
                    <w:rPr>
                      <w:rFonts w:hint="eastAsia" w:ascii="仿宋" w:hAnsi="仿宋" w:eastAsia="仿宋" w:cs="仿宋"/>
                      <w:color w:val="000000"/>
                      <w:sz w:val="21"/>
                      <w:szCs w:val="21"/>
                    </w:rPr>
                    <w:t>水龙头</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2510" w:type="dxa"/>
                  <w:noWrap w:val="0"/>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手套、纱布盒、挂钩</w:t>
                  </w:r>
                </w:p>
              </w:tc>
              <w:tc>
                <w:tcPr>
                  <w:tcW w:w="1145"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w:t>
                  </w:r>
                </w:p>
              </w:tc>
              <w:tc>
                <w:tcPr>
                  <w:tcW w:w="1514" w:type="dxa"/>
                  <w:noWrap w:val="0"/>
                  <w:vAlign w:val="center"/>
                </w:tcPr>
                <w:p>
                  <w:pPr>
                    <w:spacing w:line="240" w:lineRule="auto"/>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套</w:t>
                  </w:r>
                </w:p>
              </w:tc>
            </w:tr>
          </w:tbl>
          <w:p>
            <w:pPr>
              <w:spacing w:line="240" w:lineRule="auto"/>
              <w:jc w:val="both"/>
              <w:rPr>
                <w:rFonts w:hint="eastAsia" w:ascii="宋体" w:hAnsi="宋体" w:eastAsia="宋体" w:cs="宋体"/>
                <w:kern w:val="2"/>
                <w:sz w:val="21"/>
                <w:szCs w:val="24"/>
                <w:lang w:val="en-US" w:eastAsia="zh-CN" w:bidi="ar-SA"/>
              </w:rPr>
            </w:pPr>
          </w:p>
        </w:tc>
        <w:tc>
          <w:tcPr>
            <w:tcW w:w="1725" w:type="dxa"/>
            <w:vAlign w:val="top"/>
          </w:tcPr>
          <w:p>
            <w:pPr>
              <w:widowControl/>
              <w:textAlignment w:val="top"/>
              <w:rPr>
                <w:rFonts w:hint="eastAsia" w:ascii="宋体" w:hAnsi="宋体" w:cs="宋体"/>
                <w:color w:val="000000"/>
                <w:kern w:val="0"/>
                <w:sz w:val="24"/>
                <w:highlight w:val="none"/>
                <w:lang w:bidi="ar"/>
              </w:rPr>
            </w:pPr>
          </w:p>
        </w:tc>
        <w:tc>
          <w:tcPr>
            <w:tcW w:w="1347" w:type="dxa"/>
            <w:vAlign w:val="top"/>
          </w:tcPr>
          <w:p>
            <w:pPr>
              <w:widowControl/>
              <w:textAlignment w:val="top"/>
              <w:rPr>
                <w:rFonts w:hint="eastAsia" w:ascii="宋体" w:hAnsi="宋体" w:cs="宋体"/>
                <w:color w:val="000000"/>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pPr>
              <w:spacing w:line="24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w:t>
            </w:r>
          </w:p>
        </w:tc>
        <w:tc>
          <w:tcPr>
            <w:tcW w:w="4754" w:type="dxa"/>
            <w:vAlign w:val="center"/>
          </w:tcPr>
          <w:p>
            <w:pPr>
              <w:pStyle w:val="12"/>
              <w:numPr>
                <w:ilvl w:val="0"/>
                <w:numId w:val="0"/>
              </w:numPr>
              <w:spacing w:line="440" w:lineRule="exact"/>
              <w:ind w:leftChars="0"/>
              <w:rPr>
                <w:rFonts w:hint="eastAsia" w:ascii="仿宋" w:hAnsi="仿宋" w:eastAsia="仿宋" w:cs="仿宋"/>
                <w:b/>
                <w:color w:val="000000"/>
                <w:sz w:val="24"/>
              </w:rPr>
            </w:pPr>
            <w:r>
              <w:rPr>
                <w:rFonts w:ascii="仿宋" w:hAnsi="仿宋" w:eastAsia="仿宋" w:cs="仿宋"/>
                <w:b/>
                <w:color w:val="000000"/>
                <w:sz w:val="24"/>
              </w:rPr>
              <w:t>设备配套耗材</w:t>
            </w:r>
            <w:r>
              <w:rPr>
                <w:rFonts w:hint="eastAsia" w:ascii="仿宋" w:hAnsi="仿宋" w:eastAsia="仿宋" w:cs="仿宋"/>
                <w:b/>
                <w:color w:val="000000"/>
                <w:sz w:val="24"/>
              </w:rPr>
              <w:t>/试剂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084"/>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2126" w:type="dxa"/>
                  <w:noWrap w:val="0"/>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耗材/试剂名称</w:t>
                  </w:r>
                </w:p>
              </w:tc>
              <w:tc>
                <w:tcPr>
                  <w:tcW w:w="5245" w:type="dxa"/>
                  <w:noWrap w:val="0"/>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126" w:type="dxa"/>
                  <w:noWrap w:val="0"/>
                  <w:vAlign w:val="center"/>
                </w:tcPr>
                <w:p>
                  <w:pPr>
                    <w:spacing w:line="240" w:lineRule="auto"/>
                    <w:jc w:val="center"/>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多酶清洗液</w:t>
                  </w:r>
                </w:p>
              </w:tc>
              <w:tc>
                <w:tcPr>
                  <w:tcW w:w="5245" w:type="dxa"/>
                  <w:noWrap w:val="0"/>
                  <w:vAlign w:val="center"/>
                </w:tcPr>
                <w:p>
                  <w:pPr>
                    <w:spacing w:line="240" w:lineRule="auto"/>
                    <w:jc w:val="center"/>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126" w:type="dxa"/>
                  <w:noWrap w:val="0"/>
                  <w:vAlign w:val="center"/>
                </w:tcPr>
                <w:p>
                  <w:pPr>
                    <w:spacing w:line="240" w:lineRule="auto"/>
                    <w:jc w:val="center"/>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邻苯二甲醛</w:t>
                  </w:r>
                </w:p>
              </w:tc>
              <w:tc>
                <w:tcPr>
                  <w:tcW w:w="5245" w:type="dxa"/>
                  <w:noWrap w:val="0"/>
                  <w:vAlign w:val="center"/>
                </w:tcPr>
                <w:p>
                  <w:pPr>
                    <w:spacing w:line="240" w:lineRule="auto"/>
                    <w:jc w:val="center"/>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0.5%-0.6%</w:t>
                  </w:r>
                </w:p>
              </w:tc>
            </w:tr>
          </w:tbl>
          <w:p>
            <w:pPr>
              <w:tabs>
                <w:tab w:val="left" w:pos="1075"/>
                <w:tab w:val="left" w:pos="2813"/>
              </w:tabs>
              <w:spacing w:line="240" w:lineRule="auto"/>
              <w:jc w:val="both"/>
              <w:textAlignment w:val="center"/>
              <w:rPr>
                <w:rFonts w:hint="eastAsia" w:ascii="宋体" w:hAnsi="宋体" w:eastAsia="宋体" w:cs="宋体"/>
                <w:kern w:val="2"/>
                <w:sz w:val="21"/>
                <w:szCs w:val="24"/>
                <w:lang w:val="en-US" w:eastAsia="zh-CN" w:bidi="ar-SA"/>
              </w:rPr>
            </w:pPr>
          </w:p>
        </w:tc>
        <w:tc>
          <w:tcPr>
            <w:tcW w:w="1725" w:type="dxa"/>
            <w:vAlign w:val="top"/>
          </w:tcPr>
          <w:p>
            <w:pPr>
              <w:widowControl/>
              <w:textAlignment w:val="top"/>
              <w:rPr>
                <w:rFonts w:hint="eastAsia" w:ascii="宋体" w:hAnsi="宋体" w:cs="宋体"/>
                <w:color w:val="000000"/>
                <w:kern w:val="0"/>
                <w:sz w:val="24"/>
                <w:highlight w:val="none"/>
                <w:lang w:bidi="ar"/>
              </w:rPr>
            </w:pPr>
          </w:p>
        </w:tc>
        <w:tc>
          <w:tcPr>
            <w:tcW w:w="1347" w:type="dxa"/>
            <w:vAlign w:val="top"/>
          </w:tcPr>
          <w:p>
            <w:pPr>
              <w:widowControl/>
              <w:textAlignment w:val="top"/>
              <w:rPr>
                <w:rFonts w:hint="eastAsia" w:ascii="宋体" w:hAnsi="宋体" w:cs="宋体"/>
                <w:color w:val="000000"/>
                <w:kern w:val="0"/>
                <w:sz w:val="24"/>
                <w:highlight w:val="none"/>
                <w:lang w:bidi="ar"/>
              </w:rPr>
            </w:pPr>
          </w:p>
        </w:tc>
      </w:tr>
    </w:tbl>
    <w:p>
      <w:pPr>
        <w:tabs>
          <w:tab w:val="left" w:pos="720"/>
        </w:tabs>
        <w:spacing w:line="340" w:lineRule="exact"/>
        <w:jc w:val="left"/>
        <w:rPr>
          <w:rFonts w:ascii="宋体" w:hAnsi="宋体"/>
          <w:b/>
          <w:bCs/>
          <w:szCs w:val="21"/>
        </w:rPr>
      </w:pPr>
    </w:p>
    <w:p/>
    <w:p/>
    <w:p>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sz w:val="24"/>
        </w:rPr>
        <w:t>（请按用户需求里的商务要求</w:t>
      </w:r>
      <w:r>
        <w:rPr>
          <w:rFonts w:hint="eastAsia" w:asciiTheme="minorEastAsia" w:hAnsiTheme="minorEastAsia" w:eastAsiaTheme="minorEastAsia" w:cstheme="minorEastAsia"/>
          <w:b/>
          <w:bCs/>
          <w:sz w:val="24"/>
        </w:rPr>
        <w:t>逐条</w:t>
      </w:r>
      <w:r>
        <w:rPr>
          <w:rFonts w:hint="eastAsia" w:asciiTheme="minorEastAsia" w:hAnsiTheme="minorEastAsia" w:eastAsiaTheme="minorEastAsia" w:cstheme="minorEastAsia"/>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23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szCs w:val="21"/>
              </w:rPr>
              <w:t>1.1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b/>
                <w:szCs w:val="21"/>
              </w:rPr>
              <w:t>交货及安装、验收要求</w:t>
            </w: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交货地点：采购人指定地点。</w:t>
            </w:r>
          </w:p>
        </w:tc>
        <w:tc>
          <w:tcPr>
            <w:tcW w:w="1239" w:type="dxa"/>
            <w:shd w:val="clear" w:color="000000" w:fill="FFFFFF"/>
            <w:noWrap/>
            <w:vAlign w:val="center"/>
          </w:tcPr>
          <w:p>
            <w:pPr>
              <w:tabs>
                <w:tab w:val="left" w:pos="720"/>
              </w:tabs>
              <w:spacing w:line="440" w:lineRule="exact"/>
              <w:jc w:val="center"/>
              <w:rPr>
                <w:rFonts w:ascii="宋体" w:hAnsi="宋体" w:cs="宋体"/>
                <w:bCs/>
                <w:szCs w:val="21"/>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1.2</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交货期：成交供应商应当在中标通知书发出之日起30日内按磋商文件及成交供应商的响应文件确定的事项与采购人签订合同，签订合同后 30 日内完成设备的安装调试。</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1.3</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成交供应商须保证中标后所提供的设备为原装、全新合格的产品。产品交付时成交供应商应提供产品真实有效</w:t>
            </w:r>
            <w:bookmarkStart w:id="1" w:name="_GoBack"/>
            <w:bookmarkEnd w:id="1"/>
            <w:r>
              <w:rPr>
                <w:rFonts w:hint="eastAsia" w:ascii="宋体" w:hAnsi="宋体" w:eastAsia="宋体" w:cs="宋体"/>
                <w:kern w:val="2"/>
                <w:sz w:val="21"/>
                <w:szCs w:val="21"/>
                <w:lang w:val="en-US" w:eastAsia="zh-CN" w:bidi="ar-SA"/>
              </w:rPr>
              <w:t>的生产日期，且生产日期距交付时间的时间差不超过6 个月。</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1.4</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成交供应商负责派技术人员到现场进行安装调试，直至验收合格，安装调试所需费用应包含在投标总报价内；同时提供培训服务，必须保证需求科室操作人员融会贯通，培训所需费用全部包含在总报价内。</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1.5</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验收方式：按《小榄镇镇属医院医疗项目采购和验收管理规定》。</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★1.6</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供应商须要在响应文件做出具承诺函，该承诺函包括但不限于以下内容:</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承诺成交后须在成交公告发布之日起五个工作日内提供设备制造厂商开具并盖章的合法有效的授权函原件（盖鲜章）、售后服务承诺函原件（盖鲜章）。成交供应商未按时按要求提供上述原件的，采购人有权取消其成交资格，由此产生的一切后果由成交供应商自行承担。</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2.1</w:t>
            </w:r>
          </w:p>
        </w:tc>
        <w:tc>
          <w:tcPr>
            <w:tcW w:w="1116" w:type="dxa"/>
            <w:vMerge w:val="restart"/>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售后服务要求</w:t>
            </w: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成交供应商必须在中国境内有售后服务机构，并附有售后服务能力说明。</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★2.2</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成交供应商须提供设备原厂质保（设备原厂质量保修范围和保修期）至少为  2  年。</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2.3</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在售后期内，成交供应商在接到用户的维修通知，响应时间为半小时内，工程师到达现场时间为4小时内，排除故障时限为到达现场后8小时内。</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2.4</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如果产品故障在检修12小时后仍无法排除，成交供应商应在24小时内提供不低于故障产品规格型号档次的备用产品供采购人使用，直至故障产品修复。</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w:t>
            </w:r>
          </w:p>
        </w:tc>
        <w:tc>
          <w:tcPr>
            <w:tcW w:w="1116" w:type="dxa"/>
            <w:vMerge w:val="restart"/>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付款方式</w:t>
            </w: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本合同的每笔款项以人民币转账方式支付，合同设备到采购人指定地点交付并完成安装，验收合格后，成交供应商凭：</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（2）验收调试合格报告（加盖采购人公章）；</w:t>
            </w: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（3）成交供应商开具的正式发票（加盖发票专用章）。</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770"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w:t>
            </w:r>
          </w:p>
        </w:tc>
        <w:tc>
          <w:tcPr>
            <w:tcW w:w="1116" w:type="dxa"/>
            <w:vMerge w:val="continue"/>
            <w:shd w:val="clear" w:color="000000" w:fill="FFFFFF"/>
            <w:noWrap/>
            <w:vAlign w:val="center"/>
          </w:tcPr>
          <w:p>
            <w:pPr>
              <w:spacing w:line="440" w:lineRule="exact"/>
              <w:rPr>
                <w:rFonts w:hint="eastAsia" w:ascii="宋体" w:hAnsi="宋体" w:eastAsia="宋体" w:cs="宋体"/>
                <w:kern w:val="2"/>
                <w:sz w:val="21"/>
                <w:szCs w:val="21"/>
                <w:lang w:val="zh-CN" w:eastAsia="zh-CN" w:bidi="ar-SA"/>
              </w:rPr>
            </w:pPr>
          </w:p>
        </w:tc>
        <w:tc>
          <w:tcPr>
            <w:tcW w:w="4638" w:type="dxa"/>
            <w:shd w:val="clear" w:color="000000" w:fill="FFFFFF"/>
            <w:noWrap/>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体付款方式：合同签订后，采购人预付合同总金额的20%款项，同时成交供应商须提供相同金额的收款收据；成交供应商按合同协议时间提供设备，并经协议规定的验收机构书面确认验收合格后，开具全额发票，采购人确认发票无误后一个月内支付合同总金额的75%；合同总金额的5%在质保期满后一次性无息退还。</w:t>
            </w:r>
          </w:p>
        </w:tc>
        <w:tc>
          <w:tcPr>
            <w:tcW w:w="1239"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c>
          <w:tcPr>
            <w:tcW w:w="1502" w:type="dxa"/>
            <w:shd w:val="clear" w:color="000000" w:fill="FFFFFF"/>
            <w:noWrap/>
            <w:vAlign w:val="center"/>
          </w:tcPr>
          <w:p>
            <w:pPr>
              <w:spacing w:line="440" w:lineRule="exact"/>
              <w:rPr>
                <w:rFonts w:hint="eastAsia" w:ascii="宋体" w:hAnsi="宋体" w:eastAsia="宋体" w:cs="宋体"/>
                <w:kern w:val="2"/>
                <w:sz w:val="21"/>
                <w:szCs w:val="21"/>
                <w:lang w:val="en-US" w:eastAsia="zh-CN" w:bidi="ar-SA"/>
              </w:rPr>
            </w:pPr>
          </w:p>
        </w:tc>
      </w:tr>
    </w:tbl>
    <w:p>
      <w:pPr>
        <w:spacing w:line="440" w:lineRule="exact"/>
        <w:rPr>
          <w:rFonts w:hint="eastAsia" w:ascii="宋体" w:hAnsi="宋体" w:eastAsia="宋体" w:cs="宋体"/>
          <w:kern w:val="2"/>
          <w:sz w:val="21"/>
          <w:szCs w:val="21"/>
          <w:lang w:val="en-US" w:eastAsia="zh-CN" w:bidi="ar-SA"/>
        </w:rPr>
      </w:pPr>
    </w:p>
    <w:p>
      <w:pPr>
        <w:rPr>
          <w:rFonts w:ascii="宋体" w:hAnsi="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1C2D7"/>
    <w:multiLevelType w:val="singleLevel"/>
    <w:tmpl w:val="3CC1C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5MjdkNjg2YTgyNDFiOGE5MDU4YjBiNzJiYWU0MDkifQ=="/>
  </w:docVars>
  <w:rsids>
    <w:rsidRoot w:val="0021765C"/>
    <w:rsid w:val="00006B23"/>
    <w:rsid w:val="00101055"/>
    <w:rsid w:val="00172098"/>
    <w:rsid w:val="001A2E0A"/>
    <w:rsid w:val="001C3436"/>
    <w:rsid w:val="00204E07"/>
    <w:rsid w:val="0021765C"/>
    <w:rsid w:val="00293342"/>
    <w:rsid w:val="002D465D"/>
    <w:rsid w:val="0035345C"/>
    <w:rsid w:val="003A3903"/>
    <w:rsid w:val="003F4B3D"/>
    <w:rsid w:val="00411B54"/>
    <w:rsid w:val="00412297"/>
    <w:rsid w:val="00525E5C"/>
    <w:rsid w:val="00527C0D"/>
    <w:rsid w:val="00544162"/>
    <w:rsid w:val="005459E1"/>
    <w:rsid w:val="0063702E"/>
    <w:rsid w:val="00697BB0"/>
    <w:rsid w:val="00714732"/>
    <w:rsid w:val="00743BEA"/>
    <w:rsid w:val="007D0F38"/>
    <w:rsid w:val="00855AB0"/>
    <w:rsid w:val="00857394"/>
    <w:rsid w:val="00857CF3"/>
    <w:rsid w:val="00860BDF"/>
    <w:rsid w:val="00914200"/>
    <w:rsid w:val="009347C6"/>
    <w:rsid w:val="00987B50"/>
    <w:rsid w:val="00997C38"/>
    <w:rsid w:val="009E2D17"/>
    <w:rsid w:val="00A073B6"/>
    <w:rsid w:val="00A25AA4"/>
    <w:rsid w:val="00A84A99"/>
    <w:rsid w:val="00B063B7"/>
    <w:rsid w:val="00B73D92"/>
    <w:rsid w:val="00BA73BA"/>
    <w:rsid w:val="00C404BE"/>
    <w:rsid w:val="00C64DF1"/>
    <w:rsid w:val="00D03E7C"/>
    <w:rsid w:val="00DD5B47"/>
    <w:rsid w:val="00DF2464"/>
    <w:rsid w:val="00E83A0A"/>
    <w:rsid w:val="00ED1DC3"/>
    <w:rsid w:val="00F0449B"/>
    <w:rsid w:val="00F7514F"/>
    <w:rsid w:val="00F77392"/>
    <w:rsid w:val="01C15ED7"/>
    <w:rsid w:val="01E933D0"/>
    <w:rsid w:val="05AE53ED"/>
    <w:rsid w:val="07620875"/>
    <w:rsid w:val="08206FAF"/>
    <w:rsid w:val="088B5442"/>
    <w:rsid w:val="0A1B13A6"/>
    <w:rsid w:val="0C583667"/>
    <w:rsid w:val="0D492691"/>
    <w:rsid w:val="0D55237A"/>
    <w:rsid w:val="0EDA5F4A"/>
    <w:rsid w:val="101B4F71"/>
    <w:rsid w:val="11215D00"/>
    <w:rsid w:val="116F5E3C"/>
    <w:rsid w:val="11BE7D21"/>
    <w:rsid w:val="125151D8"/>
    <w:rsid w:val="137C3E61"/>
    <w:rsid w:val="152E75A3"/>
    <w:rsid w:val="15DD12EB"/>
    <w:rsid w:val="15FB5391"/>
    <w:rsid w:val="16667C55"/>
    <w:rsid w:val="18197B20"/>
    <w:rsid w:val="182F3FFC"/>
    <w:rsid w:val="184F47E9"/>
    <w:rsid w:val="195B4CD4"/>
    <w:rsid w:val="19F434AB"/>
    <w:rsid w:val="1A4E463B"/>
    <w:rsid w:val="1AC04D91"/>
    <w:rsid w:val="1B9B3432"/>
    <w:rsid w:val="1C5D648C"/>
    <w:rsid w:val="1D3D2C46"/>
    <w:rsid w:val="20372DFC"/>
    <w:rsid w:val="20453AE8"/>
    <w:rsid w:val="206831B1"/>
    <w:rsid w:val="23683A18"/>
    <w:rsid w:val="23E7584F"/>
    <w:rsid w:val="268A1BB3"/>
    <w:rsid w:val="27412396"/>
    <w:rsid w:val="2A885D27"/>
    <w:rsid w:val="2AA33888"/>
    <w:rsid w:val="2C6C3AC1"/>
    <w:rsid w:val="2D5D7614"/>
    <w:rsid w:val="2D79575C"/>
    <w:rsid w:val="2E712EDD"/>
    <w:rsid w:val="2EBD544A"/>
    <w:rsid w:val="2F4263DE"/>
    <w:rsid w:val="2F980E41"/>
    <w:rsid w:val="2FB36F7C"/>
    <w:rsid w:val="32A966F2"/>
    <w:rsid w:val="34326E09"/>
    <w:rsid w:val="34AF794B"/>
    <w:rsid w:val="35DF56B3"/>
    <w:rsid w:val="36891F17"/>
    <w:rsid w:val="397337AD"/>
    <w:rsid w:val="39AD7AFB"/>
    <w:rsid w:val="3AA72500"/>
    <w:rsid w:val="3B150E18"/>
    <w:rsid w:val="3B856185"/>
    <w:rsid w:val="3C2053DE"/>
    <w:rsid w:val="3C5A7ECD"/>
    <w:rsid w:val="3C8138D7"/>
    <w:rsid w:val="3C963008"/>
    <w:rsid w:val="3CF8165C"/>
    <w:rsid w:val="3F196F49"/>
    <w:rsid w:val="407E146F"/>
    <w:rsid w:val="40A72911"/>
    <w:rsid w:val="40C43099"/>
    <w:rsid w:val="41B0738E"/>
    <w:rsid w:val="42E42773"/>
    <w:rsid w:val="447A3E90"/>
    <w:rsid w:val="457E7A2C"/>
    <w:rsid w:val="45815466"/>
    <w:rsid w:val="45B122E0"/>
    <w:rsid w:val="47D67E4A"/>
    <w:rsid w:val="48574A53"/>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02D7034"/>
    <w:rsid w:val="513F009D"/>
    <w:rsid w:val="516D03D0"/>
    <w:rsid w:val="51CA70EA"/>
    <w:rsid w:val="522D2BA8"/>
    <w:rsid w:val="55FA4061"/>
    <w:rsid w:val="58591307"/>
    <w:rsid w:val="59480742"/>
    <w:rsid w:val="5CEB018E"/>
    <w:rsid w:val="5D4446FE"/>
    <w:rsid w:val="5E753BD4"/>
    <w:rsid w:val="5EC71180"/>
    <w:rsid w:val="5F580C6B"/>
    <w:rsid w:val="5FA44E0F"/>
    <w:rsid w:val="5FE15E62"/>
    <w:rsid w:val="60182200"/>
    <w:rsid w:val="60872EF7"/>
    <w:rsid w:val="61F160E0"/>
    <w:rsid w:val="63895A12"/>
    <w:rsid w:val="644C371A"/>
    <w:rsid w:val="66AF192B"/>
    <w:rsid w:val="6741119A"/>
    <w:rsid w:val="677850FC"/>
    <w:rsid w:val="6AC879A3"/>
    <w:rsid w:val="6C1727C7"/>
    <w:rsid w:val="6C1D026B"/>
    <w:rsid w:val="6C851FDC"/>
    <w:rsid w:val="6DCA297E"/>
    <w:rsid w:val="6E7D7016"/>
    <w:rsid w:val="6EE6418B"/>
    <w:rsid w:val="6F8010C8"/>
    <w:rsid w:val="6F957CEC"/>
    <w:rsid w:val="6FB54CDB"/>
    <w:rsid w:val="73A94275"/>
    <w:rsid w:val="7547180C"/>
    <w:rsid w:val="79727A43"/>
    <w:rsid w:val="79740B4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61"/>
    <w:basedOn w:val="11"/>
    <w:qFormat/>
    <w:uiPriority w:val="0"/>
    <w:rPr>
      <w:rFonts w:hint="default" w:ascii="Times New Roman" w:hAnsi="Times New Roman" w:cs="Times New Roman"/>
      <w:color w:val="000000"/>
      <w:sz w:val="28"/>
      <w:szCs w:val="28"/>
      <w:u w:val="none"/>
    </w:rPr>
  </w:style>
  <w:style w:type="character" w:customStyle="1" w:styleId="17">
    <w:name w:val="font51"/>
    <w:basedOn w:val="11"/>
    <w:qFormat/>
    <w:uiPriority w:val="0"/>
    <w:rPr>
      <w:rFonts w:hint="eastAsia" w:ascii="宋体" w:hAnsi="宋体" w:eastAsia="宋体" w:cs="宋体"/>
      <w:color w:val="000000"/>
      <w:sz w:val="28"/>
      <w:szCs w:val="28"/>
      <w:u w:val="none"/>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 w:type="character" w:customStyle="1" w:styleId="19">
    <w:name w:val="font1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C31D3-4BCC-4CD6-97FC-4EB169CB7B80}">
  <ds:schemaRefs/>
</ds:datastoreItem>
</file>

<file path=docProps/app.xml><?xml version="1.0" encoding="utf-8"?>
<Properties xmlns="http://schemas.openxmlformats.org/officeDocument/2006/extended-properties" xmlns:vt="http://schemas.openxmlformats.org/officeDocument/2006/docPropsVTypes">
  <Template>Normal</Template>
  <Pages>8</Pages>
  <Words>3117</Words>
  <Characters>3469</Characters>
  <Lines>14</Lines>
  <Paragraphs>4</Paragraphs>
  <TotalTime>0</TotalTime>
  <ScaleCrop>false</ScaleCrop>
  <LinksUpToDate>false</LinksUpToDate>
  <CharactersWithSpaces>3599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酸小敏</cp:lastModifiedBy>
  <dcterms:modified xsi:type="dcterms:W3CDTF">2022-06-01T03:49:34Z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3E465D5279D54E8C85B8DEAAA68BB77D</vt:lpwstr>
  </property>
  <property fmtid="{D5CDD505-2E9C-101B-9397-08002B2CF9AE}" pid="4" name="commondata">
    <vt:lpwstr>eyJoZGlkIjoiOTA5MjdkNjg2YTgyNDFiOGE5MDU4YjBiNzJiYWU0MDkifQ==</vt:lpwstr>
  </property>
</Properties>
</file>