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360" w:lineRule="auto"/>
        <w:jc w:val="center"/>
        <w:rPr>
          <w:rFonts w:hint="eastAsia" w:ascii="宋体" w:hAnsi="宋体" w:eastAsia="宋体" w:cs="宋体"/>
          <w:b/>
          <w:color w:val="auto"/>
          <w:sz w:val="24"/>
          <w:szCs w:val="24"/>
          <w:highlight w:val="none"/>
        </w:rPr>
      </w:pPr>
    </w:p>
    <w:p>
      <w:pPr>
        <w:tabs>
          <w:tab w:val="left" w:pos="420"/>
          <w:tab w:val="left" w:pos="6660"/>
        </w:tabs>
        <w:spacing w:line="360" w:lineRule="auto"/>
        <w:jc w:val="center"/>
        <w:rPr>
          <w:rFonts w:hint="eastAsia" w:ascii="宋体" w:hAnsi="宋体" w:eastAsia="宋体" w:cs="宋体"/>
          <w:b/>
          <w:color w:val="auto"/>
          <w:sz w:val="24"/>
          <w:szCs w:val="24"/>
          <w:highlight w:val="none"/>
        </w:rPr>
      </w:pPr>
    </w:p>
    <w:p>
      <w:pPr>
        <w:tabs>
          <w:tab w:val="left" w:pos="420"/>
          <w:tab w:val="left" w:pos="6660"/>
        </w:tabs>
        <w:spacing w:line="360" w:lineRule="auto"/>
        <w:jc w:val="center"/>
        <w:rPr>
          <w:rFonts w:hint="eastAsia"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val="en-US" w:eastAsia="zh-CN"/>
        </w:rPr>
        <w:t>谈 判 文 件</w:t>
      </w:r>
    </w:p>
    <w:p>
      <w:pPr>
        <w:widowControl/>
        <w:spacing w:line="360" w:lineRule="auto"/>
        <w:jc w:val="cente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3"/>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3"/>
        <w:rPr>
          <w:rFonts w:hint="eastAsia" w:ascii="宋体" w:hAnsi="宋体" w:eastAsia="宋体" w:cs="宋体"/>
          <w:b/>
          <w:color w:val="auto"/>
          <w:sz w:val="36"/>
          <w:szCs w:val="36"/>
          <w:highlight w:val="none"/>
        </w:rPr>
      </w:pPr>
    </w:p>
    <w:p>
      <w:pPr>
        <w:rPr>
          <w:rFonts w:hint="eastAsia" w:ascii="宋体" w:hAnsi="宋体" w:eastAsia="宋体" w:cs="宋体"/>
          <w:color w:val="auto"/>
          <w:sz w:val="36"/>
          <w:szCs w:val="36"/>
          <w:highlight w:val="none"/>
        </w:rPr>
      </w:pPr>
    </w:p>
    <w:p>
      <w:pPr>
        <w:widowControl/>
        <w:spacing w:line="360" w:lineRule="auto"/>
        <w:jc w:val="cente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left"/>
        <w:textAlignment w:val="auto"/>
        <w:rPr>
          <w:rFonts w:hint="default"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rPr>
        <w:t>项目名称：</w:t>
      </w:r>
      <w:r>
        <w:rPr>
          <w:rFonts w:hint="eastAsia" w:ascii="宋体" w:hAnsi="宋体" w:cs="宋体"/>
          <w:b/>
          <w:bCs/>
          <w:color w:val="auto"/>
          <w:sz w:val="36"/>
          <w:szCs w:val="36"/>
          <w:highlight w:val="none"/>
          <w:lang w:val="en-US" w:eastAsia="zh-CN"/>
        </w:rPr>
        <w:t>电类材料协议供货采购项目</w:t>
      </w:r>
    </w:p>
    <w:p>
      <w:pPr>
        <w:keepNext w:val="0"/>
        <w:keepLines w:val="0"/>
        <w:pageBreakBefore w:val="0"/>
        <w:widowControl/>
        <w:kinsoku/>
        <w:wordWrap/>
        <w:overflowPunct/>
        <w:topLinePunct w:val="0"/>
        <w:autoSpaceDE/>
        <w:autoSpaceDN/>
        <w:bidi w:val="0"/>
        <w:adjustRightInd/>
        <w:snapToGrid/>
        <w:spacing w:line="360" w:lineRule="auto"/>
        <w:ind w:firstLine="2168" w:firstLineChars="600"/>
        <w:jc w:val="left"/>
        <w:textAlignment w:val="auto"/>
        <w:rPr>
          <w:rFonts w:hint="eastAsia" w:ascii="宋体" w:hAnsi="宋体" w:eastAsia="宋体" w:cs="宋体"/>
          <w:b/>
          <w:bCs/>
          <w:color w:val="auto"/>
          <w:sz w:val="36"/>
          <w:szCs w:val="36"/>
          <w:highlight w:val="none"/>
          <w:u w:val="none"/>
          <w:lang w:val="en-US" w:eastAsia="zh-CN"/>
        </w:rPr>
      </w:pPr>
    </w:p>
    <w:p>
      <w:pPr>
        <w:widowControl/>
        <w:spacing w:line="360" w:lineRule="auto"/>
        <w:jc w:val="center"/>
        <w:rPr>
          <w:rFonts w:hint="eastAsia" w:ascii="宋体" w:hAnsi="宋体" w:eastAsia="宋体" w:cs="宋体"/>
          <w:b/>
          <w:color w:val="auto"/>
          <w:sz w:val="36"/>
          <w:szCs w:val="36"/>
          <w:highlight w:val="none"/>
        </w:rPr>
      </w:pPr>
    </w:p>
    <w:p>
      <w:pPr>
        <w:widowControl/>
        <w:spacing w:line="360" w:lineRule="auto"/>
        <w:jc w:val="center"/>
        <w:rPr>
          <w:rFonts w:hint="eastAsia" w:ascii="宋体" w:hAnsi="宋体" w:eastAsia="宋体" w:cs="宋体"/>
          <w:b/>
          <w:color w:val="auto"/>
          <w:sz w:val="36"/>
          <w:szCs w:val="36"/>
          <w:highlight w:val="none"/>
        </w:rPr>
      </w:pPr>
    </w:p>
    <w:p>
      <w:pPr>
        <w:widowControl/>
        <w:spacing w:line="360" w:lineRule="auto"/>
        <w:ind w:firstLine="420" w:firstLineChars="0"/>
        <w:jc w:val="both"/>
        <w:rPr>
          <w:rFonts w:hint="eastAsia" w:ascii="宋体" w:hAnsi="宋体" w:eastAsia="宋体" w:cs="宋体"/>
          <w:b/>
          <w:bCs/>
          <w:color w:val="auto"/>
          <w:sz w:val="36"/>
          <w:szCs w:val="36"/>
          <w:highlight w:val="none"/>
          <w:u w:val="single"/>
        </w:rPr>
      </w:pPr>
    </w:p>
    <w:p>
      <w:pPr>
        <w:pStyle w:val="2"/>
        <w:rPr>
          <w:rFonts w:hint="eastAsia" w:ascii="宋体" w:hAnsi="宋体" w:eastAsia="宋体" w:cs="宋体"/>
          <w:b/>
          <w:bCs/>
          <w:color w:val="auto"/>
          <w:sz w:val="36"/>
          <w:szCs w:val="36"/>
          <w:highlight w:val="none"/>
          <w:u w:val="single"/>
        </w:rPr>
      </w:pPr>
    </w:p>
    <w:p>
      <w:pPr>
        <w:pStyle w:val="3"/>
        <w:rPr>
          <w:rFonts w:hint="eastAsia" w:ascii="宋体" w:hAnsi="宋体" w:eastAsia="宋体" w:cs="宋体"/>
          <w:color w:val="auto"/>
          <w:sz w:val="36"/>
          <w:szCs w:val="36"/>
          <w:highlight w:val="none"/>
        </w:rPr>
      </w:pPr>
    </w:p>
    <w:p>
      <w:pPr>
        <w:spacing w:line="360" w:lineRule="auto"/>
        <w:jc w:val="both"/>
        <w:rPr>
          <w:rFonts w:hint="eastAsia" w:ascii="宋体" w:hAnsi="宋体" w:eastAsia="宋体" w:cs="宋体"/>
          <w:b/>
          <w:bCs/>
          <w:color w:val="auto"/>
          <w:sz w:val="36"/>
          <w:szCs w:val="36"/>
          <w:highlight w:val="none"/>
        </w:rPr>
      </w:pPr>
    </w:p>
    <w:p>
      <w:pPr>
        <w:tabs>
          <w:tab w:val="left" w:pos="0"/>
          <w:tab w:val="left" w:pos="426"/>
        </w:tabs>
        <w:wordWrap w:val="0"/>
        <w:spacing w:line="360" w:lineRule="auto"/>
        <w:ind w:firstLine="723" w:firstLineChars="200"/>
        <w:jc w:val="center"/>
        <w:rPr>
          <w:rFonts w:hint="default" w:ascii="宋体" w:hAnsi="宋体" w:eastAsia="宋体" w:cs="宋体"/>
          <w:b/>
          <w:color w:val="auto"/>
          <w:sz w:val="36"/>
          <w:szCs w:val="36"/>
          <w:highlight w:val="none"/>
          <w:lang w:val="en-US" w:eastAsia="zh-CN"/>
        </w:rPr>
      </w:pPr>
      <w:r>
        <w:rPr>
          <w:rFonts w:hint="eastAsia" w:ascii="宋体" w:hAnsi="宋体" w:eastAsia="宋体" w:cs="宋体"/>
          <w:b/>
          <w:bCs/>
          <w:color w:val="auto"/>
          <w:sz w:val="36"/>
          <w:szCs w:val="36"/>
          <w:highlight w:val="none"/>
        </w:rPr>
        <w:t>202</w:t>
      </w:r>
      <w:r>
        <w:rPr>
          <w:rFonts w:hint="eastAsia" w:ascii="宋体" w:hAnsi="宋体" w:cs="宋体"/>
          <w:b/>
          <w:bCs/>
          <w:color w:val="auto"/>
          <w:sz w:val="36"/>
          <w:szCs w:val="36"/>
          <w:highlight w:val="none"/>
          <w:lang w:val="en-US" w:eastAsia="zh-CN"/>
        </w:rPr>
        <w:t>2</w:t>
      </w:r>
      <w:r>
        <w:rPr>
          <w:rFonts w:hint="eastAsia" w:ascii="宋体" w:hAnsi="宋体" w:eastAsia="宋体" w:cs="宋体"/>
          <w:b/>
          <w:bCs/>
          <w:color w:val="auto"/>
          <w:sz w:val="36"/>
          <w:szCs w:val="36"/>
          <w:highlight w:val="none"/>
        </w:rPr>
        <w:t>年</w:t>
      </w:r>
      <w:r>
        <w:rPr>
          <w:rFonts w:hint="eastAsia" w:ascii="宋体" w:hAnsi="宋体" w:cs="宋体"/>
          <w:b/>
          <w:bCs/>
          <w:color w:val="auto"/>
          <w:sz w:val="36"/>
          <w:szCs w:val="36"/>
          <w:highlight w:val="none"/>
          <w:lang w:val="en-US" w:eastAsia="zh-CN"/>
        </w:rPr>
        <w:t>06</w:t>
      </w:r>
      <w:r>
        <w:rPr>
          <w:rFonts w:hint="eastAsia" w:ascii="宋体" w:hAnsi="宋体" w:eastAsia="宋体" w:cs="宋体"/>
          <w:b/>
          <w:bCs/>
          <w:color w:val="auto"/>
          <w:sz w:val="36"/>
          <w:szCs w:val="36"/>
          <w:highlight w:val="none"/>
        </w:rPr>
        <w:t>月</w:t>
      </w:r>
    </w:p>
    <w:p>
      <w:pPr>
        <w:spacing w:line="360" w:lineRule="auto"/>
        <w:jc w:val="both"/>
        <w:rPr>
          <w:rFonts w:hint="eastAsia" w:ascii="宋体" w:hAnsi="宋体" w:eastAsia="宋体" w:cs="宋体"/>
          <w:color w:val="auto"/>
          <w:sz w:val="24"/>
          <w:szCs w:val="24"/>
          <w:highlight w:val="none"/>
        </w:rPr>
      </w:pPr>
    </w:p>
    <w:p>
      <w:pPr>
        <w:spacing w:before="0" w:beforeLines="0" w:after="0" w:afterLines="0" w:line="240" w:lineRule="auto"/>
        <w:ind w:left="0" w:leftChars="0" w:right="0" w:rightChars="0" w:firstLine="0" w:firstLineChars="0"/>
        <w:jc w:val="both"/>
        <w:rPr>
          <w:rFonts w:hint="eastAsia" w:ascii="宋体" w:hAnsi="宋体" w:eastAsia="宋体" w:cs="宋体"/>
          <w:color w:val="auto"/>
          <w:kern w:val="2"/>
          <w:sz w:val="36"/>
          <w:szCs w:val="36"/>
          <w:highlight w:val="none"/>
          <w:lang w:val="en-US" w:eastAsia="zh-CN" w:bidi="ar-SA"/>
        </w:rPr>
      </w:pPr>
    </w:p>
    <w:sdt>
      <w:sdtPr>
        <w:rPr>
          <w:rFonts w:hint="eastAsia" w:ascii="宋体" w:hAnsi="宋体" w:eastAsia="宋体" w:cs="宋体"/>
          <w:b/>
          <w:bCs/>
          <w:color w:val="auto"/>
          <w:kern w:val="2"/>
          <w:sz w:val="48"/>
          <w:szCs w:val="48"/>
          <w:highlight w:val="none"/>
          <w:lang w:val="en-US" w:eastAsia="zh-CN" w:bidi="ar-SA"/>
        </w:rPr>
        <w:id w:val="147466740"/>
        <w15:color w:val="DBDBDB"/>
        <w:docPartObj>
          <w:docPartGallery w:val="Table of Contents"/>
          <w:docPartUnique/>
        </w:docPartObj>
      </w:sdtPr>
      <w:sdtEndPr>
        <w:rPr>
          <w:rFonts w:hint="eastAsia" w:ascii="宋体" w:hAnsi="宋体" w:eastAsia="宋体" w:cs="宋体"/>
          <w:b/>
          <w:bCs/>
          <w:color w:val="auto"/>
          <w:spacing w:val="40"/>
          <w:kern w:val="0"/>
          <w:sz w:val="24"/>
          <w:szCs w:val="24"/>
          <w:highlight w:val="none"/>
          <w:u w:val="singl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目录</w:t>
          </w: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highlight w:val="none"/>
            </w:rPr>
          </w:pPr>
        </w:p>
        <w:p>
          <w:pPr>
            <w:pStyle w:val="10"/>
            <w:tabs>
              <w:tab w:val="right" w:leader="dot" w:pos="10546"/>
              <w:tab w:val="clear" w:pos="9540"/>
            </w:tabs>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_Toc24434 </w:instrText>
          </w:r>
          <w:r>
            <w:rPr>
              <w:rFonts w:hint="eastAsia" w:ascii="宋体" w:hAnsi="宋体" w:eastAsia="宋体" w:cs="宋体"/>
              <w:szCs w:val="24"/>
              <w:highlight w:val="none"/>
            </w:rPr>
            <w:fldChar w:fldCharType="separate"/>
          </w:r>
          <w:r>
            <w:rPr>
              <w:rFonts w:hint="eastAsia"/>
            </w:rPr>
            <w:t xml:space="preserve">第一部分  </w:t>
          </w:r>
          <w:r>
            <w:rPr>
              <w:rFonts w:hint="eastAsia"/>
              <w:lang w:eastAsia="zh-CN"/>
            </w:rPr>
            <w:t>谈判邀请函</w:t>
          </w:r>
          <w:r>
            <w:tab/>
          </w:r>
          <w:r>
            <w:fldChar w:fldCharType="begin"/>
          </w:r>
          <w:r>
            <w:instrText xml:space="preserve"> PAGEREF _Toc24434 \h </w:instrText>
          </w:r>
          <w:r>
            <w:fldChar w:fldCharType="separate"/>
          </w:r>
          <w:r>
            <w:t>3</w:t>
          </w:r>
          <w:r>
            <w:fldChar w:fldCharType="end"/>
          </w:r>
          <w:r>
            <w:rPr>
              <w:rFonts w:hint="eastAsia" w:ascii="宋体" w:hAnsi="宋体" w:eastAsia="宋体" w:cs="宋体"/>
              <w:color w:val="auto"/>
              <w:szCs w:val="24"/>
              <w:highlight w:val="none"/>
            </w:rPr>
            <w:fldChar w:fldCharType="end"/>
          </w:r>
        </w:p>
        <w:p>
          <w:pPr>
            <w:pStyle w:val="10"/>
            <w:tabs>
              <w:tab w:val="right" w:leader="dot" w:pos="10546"/>
              <w:tab w:val="clear" w:pos="954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_Toc12623 </w:instrText>
          </w:r>
          <w:r>
            <w:rPr>
              <w:rFonts w:hint="eastAsia" w:ascii="宋体" w:hAnsi="宋体" w:eastAsia="宋体" w:cs="宋体"/>
              <w:szCs w:val="24"/>
              <w:highlight w:val="none"/>
            </w:rPr>
            <w:fldChar w:fldCharType="separate"/>
          </w:r>
          <w:r>
            <w:rPr>
              <w:rFonts w:hint="eastAsia"/>
            </w:rPr>
            <w:t>第二部分　</w:t>
          </w:r>
          <w:r>
            <w:rPr>
              <w:rFonts w:hint="eastAsia"/>
              <w:lang w:eastAsia="zh-CN"/>
            </w:rPr>
            <w:t>采购需求书</w:t>
          </w:r>
          <w:r>
            <w:tab/>
          </w:r>
          <w:r>
            <w:fldChar w:fldCharType="begin"/>
          </w:r>
          <w:r>
            <w:instrText xml:space="preserve"> PAGEREF _Toc12623 \h </w:instrText>
          </w:r>
          <w:r>
            <w:fldChar w:fldCharType="separate"/>
          </w:r>
          <w:r>
            <w:t>7</w:t>
          </w:r>
          <w:r>
            <w:fldChar w:fldCharType="end"/>
          </w:r>
          <w:r>
            <w:rPr>
              <w:rFonts w:hint="eastAsia" w:ascii="宋体" w:hAnsi="宋体" w:eastAsia="宋体" w:cs="宋体"/>
              <w:color w:val="auto"/>
              <w:szCs w:val="24"/>
              <w:highlight w:val="none"/>
            </w:rPr>
            <w:fldChar w:fldCharType="end"/>
          </w:r>
        </w:p>
        <w:p>
          <w:pPr>
            <w:pStyle w:val="10"/>
            <w:tabs>
              <w:tab w:val="right" w:leader="dot" w:pos="10546"/>
              <w:tab w:val="clear" w:pos="954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_Toc32635 </w:instrText>
          </w:r>
          <w:r>
            <w:rPr>
              <w:rFonts w:hint="eastAsia" w:ascii="宋体" w:hAnsi="宋体" w:eastAsia="宋体" w:cs="宋体"/>
              <w:szCs w:val="24"/>
              <w:highlight w:val="none"/>
            </w:rPr>
            <w:fldChar w:fldCharType="separate"/>
          </w:r>
          <w:r>
            <w:rPr>
              <w:rFonts w:hint="eastAsia"/>
              <w:lang w:val="en-US" w:eastAsia="zh-CN"/>
            </w:rPr>
            <w:t>第三部分 评分标准</w:t>
          </w:r>
          <w:r>
            <w:tab/>
          </w:r>
          <w:r>
            <w:fldChar w:fldCharType="begin"/>
          </w:r>
          <w:r>
            <w:instrText xml:space="preserve"> PAGEREF _Toc32635 \h </w:instrText>
          </w:r>
          <w:r>
            <w:fldChar w:fldCharType="separate"/>
          </w:r>
          <w:r>
            <w:t>13</w:t>
          </w:r>
          <w:r>
            <w:fldChar w:fldCharType="end"/>
          </w:r>
          <w:r>
            <w:rPr>
              <w:rFonts w:hint="eastAsia" w:ascii="宋体" w:hAnsi="宋体" w:eastAsia="宋体" w:cs="宋体"/>
              <w:color w:val="auto"/>
              <w:szCs w:val="24"/>
              <w:highlight w:val="none"/>
            </w:rPr>
            <w:fldChar w:fldCharType="end"/>
          </w:r>
        </w:p>
        <w:p>
          <w:pPr>
            <w:pStyle w:val="10"/>
            <w:tabs>
              <w:tab w:val="right" w:leader="dot" w:pos="10546"/>
              <w:tab w:val="clear" w:pos="954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_Toc26271 </w:instrText>
          </w:r>
          <w:r>
            <w:rPr>
              <w:rFonts w:hint="eastAsia" w:ascii="宋体" w:hAnsi="宋体" w:eastAsia="宋体" w:cs="宋体"/>
              <w:szCs w:val="24"/>
              <w:highlight w:val="none"/>
            </w:rPr>
            <w:fldChar w:fldCharType="separate"/>
          </w:r>
          <w:r>
            <w:rPr>
              <w:rFonts w:hint="eastAsia"/>
            </w:rPr>
            <w:t>第</w:t>
          </w:r>
          <w:r>
            <w:rPr>
              <w:rFonts w:hint="eastAsia"/>
              <w:lang w:val="en-US" w:eastAsia="zh-CN"/>
            </w:rPr>
            <w:t>四</w:t>
          </w:r>
          <w:r>
            <w:rPr>
              <w:rFonts w:hint="eastAsia"/>
            </w:rPr>
            <w:t>部分　</w:t>
          </w:r>
          <w:r>
            <w:rPr>
              <w:rFonts w:hint="eastAsia"/>
              <w:lang w:val="en-US" w:eastAsia="zh-CN"/>
            </w:rPr>
            <w:t>报价文件格式</w:t>
          </w:r>
          <w:r>
            <w:tab/>
          </w:r>
          <w:r>
            <w:fldChar w:fldCharType="begin"/>
          </w:r>
          <w:r>
            <w:instrText xml:space="preserve"> PAGEREF _Toc26271 \h </w:instrText>
          </w:r>
          <w:r>
            <w:fldChar w:fldCharType="separate"/>
          </w:r>
          <w:r>
            <w:t>16</w:t>
          </w:r>
          <w:r>
            <w:fldChar w:fldCharType="end"/>
          </w:r>
          <w:r>
            <w:rPr>
              <w:rFonts w:hint="eastAsia" w:ascii="宋体" w:hAnsi="宋体" w:eastAsia="宋体" w:cs="宋体"/>
              <w:color w:val="auto"/>
              <w:szCs w:val="24"/>
              <w:highlight w:val="none"/>
            </w:rPr>
            <w:fldChar w:fldCharType="end"/>
          </w:r>
        </w:p>
        <w:p>
          <w:pPr>
            <w:pStyle w:val="11"/>
            <w:tabs>
              <w:tab w:val="left" w:pos="8163"/>
            </w:tabs>
            <w:bidi w:val="0"/>
            <w:rPr>
              <w:rFonts w:hint="eastAsia" w:ascii="宋体" w:hAnsi="宋体" w:eastAsia="宋体" w:cs="宋体"/>
              <w:color w:val="auto"/>
              <w:spacing w:val="40"/>
              <w:kern w:val="0"/>
              <w:sz w:val="24"/>
              <w:szCs w:val="24"/>
              <w:highlight w:val="none"/>
              <w:u w:val="single"/>
              <w:lang w:val="en-US" w:eastAsia="zh-CN" w:bidi="ar-SA"/>
            </w:rPr>
            <w:sectPr>
              <w:footerReference r:id="rId3" w:type="default"/>
              <w:pgSz w:w="11906" w:h="16838"/>
              <w:pgMar w:top="1440" w:right="680" w:bottom="1440" w:left="680" w:header="851" w:footer="992" w:gutter="0"/>
              <w:cols w:space="425" w:num="1"/>
              <w:docGrid w:type="lines" w:linePitch="312" w:charSpace="0"/>
            </w:sectPr>
          </w:pPr>
          <w:r>
            <w:rPr>
              <w:rFonts w:hint="eastAsia" w:ascii="宋体" w:hAnsi="宋体" w:eastAsia="宋体" w:cs="宋体"/>
              <w:color w:val="auto"/>
              <w:szCs w:val="24"/>
              <w:highlight w:val="none"/>
            </w:rPr>
            <w:fldChar w:fldCharType="end"/>
          </w:r>
        </w:p>
      </w:sdtContent>
    </w:sdt>
    <w:p>
      <w:pPr>
        <w:spacing w:line="360" w:lineRule="auto"/>
        <w:jc w:val="both"/>
        <w:rPr>
          <w:rFonts w:hint="eastAsia" w:ascii="宋体" w:hAnsi="宋体" w:eastAsia="宋体" w:cs="宋体"/>
          <w:color w:val="auto"/>
          <w:sz w:val="24"/>
          <w:szCs w:val="24"/>
          <w:highlight w:val="none"/>
        </w:rPr>
      </w:pPr>
    </w:p>
    <w:p>
      <w:pPr>
        <w:spacing w:line="360" w:lineRule="auto"/>
        <w:jc w:val="both"/>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szCs w:val="24"/>
          <w:highlight w:val="none"/>
        </w:rPr>
      </w:pPr>
    </w:p>
    <w:p>
      <w:pPr>
        <w:pStyle w:val="4"/>
        <w:bidi w:val="0"/>
        <w:jc w:val="center"/>
        <w:rPr>
          <w:rFonts w:hint="eastAsia"/>
          <w:lang w:eastAsia="zh-CN"/>
        </w:rPr>
      </w:pPr>
      <w:bookmarkStart w:id="0" w:name="_Toc26272340"/>
      <w:bookmarkStart w:id="1" w:name="_Toc24434"/>
      <w:r>
        <w:rPr>
          <w:rFonts w:hint="eastAsia"/>
        </w:rPr>
        <w:t xml:space="preserve">第一部分  </w:t>
      </w:r>
      <w:bookmarkEnd w:id="0"/>
      <w:r>
        <w:rPr>
          <w:rFonts w:hint="eastAsia"/>
          <w:lang w:eastAsia="zh-CN"/>
        </w:rPr>
        <w:t>谈判邀请函</w:t>
      </w:r>
      <w:bookmarkEnd w:id="1"/>
    </w:p>
    <w:p>
      <w:pPr>
        <w:spacing w:line="360" w:lineRule="auto"/>
        <w:rPr>
          <w:rFonts w:hint="eastAsia" w:ascii="宋体" w:hAnsi="宋体" w:eastAsia="宋体" w:cs="宋体"/>
          <w:color w:val="auto"/>
          <w:kern w:val="0"/>
          <w:sz w:val="24"/>
          <w:szCs w:val="24"/>
          <w:highlight w:val="none"/>
        </w:rPr>
      </w:pPr>
    </w:p>
    <w:p>
      <w:pPr>
        <w:adjustRightInd w:val="0"/>
        <w:snapToGrid w:val="0"/>
        <w:spacing w:line="360" w:lineRule="auto"/>
        <w:jc w:val="center"/>
        <w:rPr>
          <w:rFonts w:hint="eastAsia" w:ascii="宋体" w:hAnsi="宋体" w:eastAsia="宋体" w:cs="宋体"/>
          <w:b/>
          <w:color w:val="auto"/>
          <w:kern w:val="28"/>
          <w:sz w:val="24"/>
          <w:szCs w:val="24"/>
          <w:highlight w:val="none"/>
          <w:lang w:eastAsia="zh-CN"/>
        </w:rPr>
      </w:pPr>
      <w:r>
        <w:rPr>
          <w:rFonts w:hint="eastAsia" w:ascii="宋体" w:hAnsi="宋体" w:eastAsia="宋体" w:cs="宋体"/>
          <w:b/>
          <w:color w:val="auto"/>
          <w:kern w:val="28"/>
          <w:sz w:val="24"/>
          <w:szCs w:val="24"/>
          <w:highlight w:val="none"/>
        </w:rPr>
        <w:br w:type="page"/>
      </w:r>
      <w:r>
        <w:rPr>
          <w:rFonts w:hint="eastAsia" w:ascii="宋体" w:hAnsi="宋体" w:eastAsia="宋体" w:cs="宋体"/>
          <w:b/>
          <w:color w:val="auto"/>
          <w:kern w:val="28"/>
          <w:sz w:val="27"/>
          <w:szCs w:val="27"/>
          <w:highlight w:val="none"/>
        </w:rPr>
        <w:t xml:space="preserve">第一部分  </w:t>
      </w:r>
      <w:r>
        <w:rPr>
          <w:rFonts w:hint="eastAsia" w:ascii="宋体" w:hAnsi="宋体" w:eastAsia="宋体" w:cs="宋体"/>
          <w:b/>
          <w:color w:val="auto"/>
          <w:kern w:val="28"/>
          <w:sz w:val="27"/>
          <w:szCs w:val="27"/>
          <w:highlight w:val="none"/>
          <w:lang w:eastAsia="zh-CN"/>
        </w:rPr>
        <w:t>谈判邀请函</w:t>
      </w:r>
    </w:p>
    <w:p>
      <w:pPr>
        <w:pStyle w:val="12"/>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17"/>
          <w:rFonts w:hint="eastAsia" w:ascii="宋体" w:hAnsi="宋体" w:eastAsia="宋体" w:cs="宋体"/>
          <w:bCs/>
          <w:color w:val="auto"/>
          <w:sz w:val="32"/>
          <w:szCs w:val="32"/>
          <w:highlight w:val="none"/>
          <w:shd w:val="clear" w:color="auto" w:fill="FFFFFF"/>
        </w:rPr>
        <w:t>项目基本情况</w:t>
      </w:r>
    </w:p>
    <w:p>
      <w:pPr>
        <w:pStyle w:val="12"/>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7"/>
          <w:szCs w:val="27"/>
          <w:highlight w:val="none"/>
          <w:shd w:val="clear" w:color="auto" w:fill="FFFFFF"/>
        </w:rPr>
        <w:t>采购方式：</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u w:val="none"/>
          <w:lang w:val="en-US" w:eastAsia="zh-CN"/>
        </w:rPr>
        <w:t>综合评审最优</w:t>
      </w:r>
    </w:p>
    <w:p>
      <w:pPr>
        <w:pStyle w:val="12"/>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default" w:ascii="宋体" w:hAnsi="宋体" w:eastAsia="宋体" w:cs="宋体"/>
          <w:color w:val="auto"/>
          <w:sz w:val="27"/>
          <w:szCs w:val="27"/>
          <w:highlight w:val="none"/>
          <w:shd w:val="clear" w:color="auto" w:fill="FFFFFF"/>
          <w:lang w:val="en-US" w:eastAsia="zh-CN"/>
        </w:rPr>
      </w:pPr>
      <w:r>
        <w:rPr>
          <w:rFonts w:hint="eastAsia" w:ascii="宋体" w:hAnsi="宋体" w:eastAsia="宋体" w:cs="宋体"/>
          <w:color w:val="auto"/>
          <w:sz w:val="27"/>
          <w:szCs w:val="27"/>
          <w:highlight w:val="none"/>
          <w:shd w:val="clear" w:color="auto" w:fill="FFFFFF"/>
        </w:rPr>
        <w:t>总预算金额（元）：</w:t>
      </w:r>
      <w:r>
        <w:rPr>
          <w:rFonts w:hint="eastAsia" w:cs="宋体"/>
          <w:color w:val="auto"/>
          <w:sz w:val="27"/>
          <w:szCs w:val="27"/>
          <w:highlight w:val="none"/>
          <w:shd w:val="clear" w:color="auto" w:fill="FFFFFF"/>
          <w:lang w:val="en-US" w:eastAsia="zh-CN"/>
        </w:rPr>
        <w:t>197000</w:t>
      </w:r>
    </w:p>
    <w:p>
      <w:pPr>
        <w:pStyle w:val="12"/>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default" w:ascii="宋体" w:hAnsi="宋体" w:eastAsia="宋体" w:cs="宋体"/>
          <w:color w:val="auto"/>
          <w:sz w:val="27"/>
          <w:szCs w:val="27"/>
          <w:highlight w:val="none"/>
          <w:shd w:val="clear" w:color="auto" w:fill="FFFFFF"/>
          <w:lang w:val="en-US" w:eastAsia="zh-CN"/>
        </w:rPr>
      </w:pPr>
      <w:r>
        <w:rPr>
          <w:rFonts w:hint="eastAsia" w:ascii="宋体" w:hAnsi="宋体" w:eastAsia="宋体" w:cs="宋体"/>
          <w:color w:val="auto"/>
          <w:sz w:val="27"/>
          <w:szCs w:val="27"/>
          <w:highlight w:val="none"/>
          <w:shd w:val="clear" w:color="auto" w:fill="FFFFFF"/>
        </w:rPr>
        <w:t>采购需求：</w:t>
      </w:r>
    </w:p>
    <w:tbl>
      <w:tblPr>
        <w:tblStyle w:val="14"/>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990"/>
        <w:gridCol w:w="2301"/>
        <w:gridCol w:w="1635"/>
        <w:gridCol w:w="1425"/>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53" w:hRule="atLeast"/>
        </w:trPr>
        <w:tc>
          <w:tcPr>
            <w:tcW w:w="990" w:type="dxa"/>
            <w:shd w:val="clear" w:color="auto" w:fill="F2F2F2"/>
            <w:tcMar>
              <w:left w:w="105" w:type="dxa"/>
              <w:right w:w="105" w:type="dxa"/>
            </w:tcMar>
            <w:vAlign w:val="center"/>
          </w:tcPr>
          <w:p>
            <w:pPr>
              <w:pStyle w:val="12"/>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301" w:type="dxa"/>
            <w:shd w:val="clear" w:color="auto" w:fill="F2F2F2"/>
            <w:tcMar>
              <w:left w:w="105" w:type="dxa"/>
              <w:right w:w="105" w:type="dxa"/>
            </w:tcMar>
            <w:vAlign w:val="center"/>
          </w:tcPr>
          <w:p>
            <w:pPr>
              <w:pStyle w:val="12"/>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635" w:type="dxa"/>
            <w:shd w:val="clear" w:color="auto" w:fill="F2F2F2"/>
            <w:tcMar>
              <w:left w:w="105" w:type="dxa"/>
              <w:right w:w="105" w:type="dxa"/>
            </w:tcMar>
            <w:vAlign w:val="center"/>
          </w:tcPr>
          <w:p>
            <w:pPr>
              <w:pStyle w:val="12"/>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425" w:type="dxa"/>
            <w:shd w:val="clear" w:color="auto" w:fill="F2F2F2"/>
            <w:tcMar>
              <w:left w:w="105" w:type="dxa"/>
              <w:right w:w="105" w:type="dxa"/>
            </w:tcMar>
            <w:vAlign w:val="center"/>
          </w:tcPr>
          <w:p>
            <w:pPr>
              <w:pStyle w:val="12"/>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预算金额</w:t>
            </w:r>
          </w:p>
          <w:p>
            <w:pPr>
              <w:pStyle w:val="12"/>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（万元）</w:t>
            </w:r>
          </w:p>
        </w:tc>
        <w:tc>
          <w:tcPr>
            <w:tcW w:w="2567" w:type="dxa"/>
            <w:shd w:val="clear" w:color="auto" w:fill="F2F2F2"/>
            <w:tcMar>
              <w:left w:w="105" w:type="dxa"/>
              <w:right w:w="105" w:type="dxa"/>
            </w:tcMar>
            <w:vAlign w:val="center"/>
          </w:tcPr>
          <w:p>
            <w:pPr>
              <w:pStyle w:val="12"/>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43" w:hRule="atLeast"/>
        </w:trPr>
        <w:tc>
          <w:tcPr>
            <w:tcW w:w="990" w:type="dxa"/>
            <w:shd w:val="clear" w:color="auto" w:fill="FFFFFF"/>
            <w:noWrap/>
            <w:tcMar>
              <w:left w:w="105" w:type="dxa"/>
              <w:right w:w="105" w:type="dxa"/>
            </w:tcMar>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ascii="宋体" w:hAnsi="宋体" w:eastAsia="宋体" w:cs="宋体"/>
                <w:color w:val="auto"/>
                <w:highlight w:val="none"/>
                <w:lang w:val="en-US" w:eastAsia="zh-CN"/>
              </w:rPr>
            </w:pPr>
            <w:r>
              <w:rPr>
                <w:rFonts w:hint="eastAsia" w:cs="宋体"/>
                <w:color w:val="auto"/>
                <w:highlight w:val="none"/>
                <w:lang w:val="en-US" w:eastAsia="zh-CN"/>
              </w:rPr>
              <w:t>1</w:t>
            </w:r>
          </w:p>
        </w:tc>
        <w:tc>
          <w:tcPr>
            <w:tcW w:w="2301" w:type="dxa"/>
            <w:shd w:val="clear" w:color="auto" w:fill="FFFFFF"/>
            <w:noWrap/>
            <w:tcMar>
              <w:left w:w="105" w:type="dxa"/>
              <w:right w:w="105" w:type="dxa"/>
            </w:tcMar>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default" w:ascii="宋体" w:hAnsi="宋体" w:eastAsia="宋体" w:cs="宋体"/>
                <w:color w:val="auto"/>
                <w:highlight w:val="none"/>
                <w:lang w:val="en-US" w:eastAsia="zh-CN"/>
              </w:rPr>
            </w:pPr>
            <w:r>
              <w:rPr>
                <w:rFonts w:hint="eastAsia" w:cs="宋体"/>
                <w:color w:val="auto"/>
                <w:highlight w:val="none"/>
                <w:lang w:val="en-US" w:eastAsia="zh-CN"/>
              </w:rPr>
              <w:t>电类材料协议供货</w:t>
            </w:r>
          </w:p>
        </w:tc>
        <w:tc>
          <w:tcPr>
            <w:tcW w:w="1635" w:type="dxa"/>
            <w:shd w:val="clear" w:color="auto" w:fill="FFFFFF"/>
            <w:noWrap/>
            <w:tcMar>
              <w:left w:w="105" w:type="dxa"/>
              <w:right w:w="105" w:type="dxa"/>
            </w:tcMar>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default" w:ascii="宋体" w:hAnsi="宋体" w:eastAsia="宋体" w:cs="宋体"/>
                <w:color w:val="auto"/>
                <w:highlight w:val="none"/>
                <w:lang w:val="en-US" w:eastAsia="zh-CN"/>
              </w:rPr>
            </w:pPr>
            <w:r>
              <w:rPr>
                <w:rFonts w:hint="eastAsia" w:cs="宋体"/>
                <w:color w:val="auto"/>
                <w:highlight w:val="none"/>
                <w:lang w:val="en-US" w:eastAsia="zh-CN"/>
              </w:rPr>
              <w:t>1年</w:t>
            </w:r>
          </w:p>
        </w:tc>
        <w:tc>
          <w:tcPr>
            <w:tcW w:w="1425" w:type="dxa"/>
            <w:shd w:val="clear" w:color="auto" w:fill="FFFFFF"/>
            <w:noWrap/>
            <w:tcMar>
              <w:left w:w="105" w:type="dxa"/>
              <w:right w:w="105" w:type="dxa"/>
            </w:tcMar>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default" w:ascii="宋体" w:hAnsi="宋体" w:eastAsia="宋体" w:cs="宋体"/>
                <w:color w:val="auto"/>
                <w:highlight w:val="none"/>
                <w:lang w:val="en-US" w:eastAsia="zh-CN"/>
              </w:rPr>
            </w:pPr>
            <w:r>
              <w:rPr>
                <w:rFonts w:hint="eastAsia" w:cs="宋体"/>
                <w:color w:val="auto"/>
                <w:highlight w:val="none"/>
                <w:lang w:val="en-US" w:eastAsia="zh-CN"/>
              </w:rPr>
              <w:t>197000</w:t>
            </w:r>
          </w:p>
        </w:tc>
        <w:tc>
          <w:tcPr>
            <w:tcW w:w="2567" w:type="dxa"/>
            <w:shd w:val="clear" w:color="auto" w:fill="FFFFFF"/>
            <w:noWrap/>
            <w:tcMar>
              <w:left w:w="105" w:type="dxa"/>
              <w:right w:w="105" w:type="dxa"/>
            </w:tcMar>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cs="宋体"/>
                <w:color w:val="auto"/>
                <w:highlight w:val="none"/>
                <w:lang w:val="en-US" w:eastAsia="zh-CN"/>
              </w:rPr>
            </w:pPr>
            <w:r>
              <w:rPr>
                <w:rFonts w:hint="eastAsia" w:cs="宋体"/>
                <w:color w:val="auto"/>
                <w:highlight w:val="none"/>
                <w:lang w:val="en-US" w:eastAsia="zh-CN"/>
              </w:rPr>
              <w:t>需求详看</w:t>
            </w:r>
          </w:p>
          <w:p>
            <w:pPr>
              <w:pStyle w:val="12"/>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default" w:ascii="宋体" w:hAnsi="宋体" w:eastAsia="宋体" w:cs="宋体"/>
                <w:color w:val="auto"/>
                <w:highlight w:val="none"/>
                <w:lang w:val="en-US" w:eastAsia="zh-CN"/>
              </w:rPr>
            </w:pPr>
            <w:r>
              <w:rPr>
                <w:rFonts w:hint="eastAsia" w:cs="宋体"/>
                <w:color w:val="auto"/>
                <w:highlight w:val="none"/>
                <w:lang w:val="en-US" w:eastAsia="zh-CN"/>
              </w:rPr>
              <w:t>《用户需求书》</w:t>
            </w:r>
          </w:p>
        </w:tc>
      </w:tr>
    </w:tbl>
    <w:p>
      <w:pPr>
        <w:pStyle w:val="12"/>
        <w:keepNext w:val="0"/>
        <w:keepLines w:val="0"/>
        <w:pageBreakBefore w:val="0"/>
        <w:widowControl/>
        <w:numPr>
          <w:ilvl w:val="0"/>
          <w:numId w:val="1"/>
        </w:numPr>
        <w:kinsoku/>
        <w:wordWrap/>
        <w:overflowPunct/>
        <w:topLinePunct w:val="0"/>
        <w:autoSpaceDE/>
        <w:autoSpaceDN/>
        <w:bidi w:val="0"/>
        <w:spacing w:beforeAutospacing="0" w:afterAutospacing="0" w:line="360" w:lineRule="auto"/>
        <w:ind w:firstLine="0"/>
        <w:textAlignment w:val="baseline"/>
        <w:rPr>
          <w:rFonts w:hint="eastAsia" w:ascii="宋体" w:hAnsi="宋体" w:eastAsia="宋体" w:cs="宋体"/>
          <w:color w:val="auto"/>
          <w:sz w:val="32"/>
          <w:szCs w:val="32"/>
          <w:highlight w:val="none"/>
        </w:rPr>
      </w:pPr>
      <w:r>
        <w:rPr>
          <w:rStyle w:val="17"/>
          <w:rFonts w:hint="eastAsia" w:ascii="宋体" w:hAnsi="宋体" w:eastAsia="宋体" w:cs="宋体"/>
          <w:bCs/>
          <w:color w:val="auto"/>
          <w:sz w:val="32"/>
          <w:szCs w:val="32"/>
          <w:highlight w:val="none"/>
          <w:shd w:val="clear" w:color="auto" w:fill="FFFFFF"/>
          <w:lang w:eastAsia="zh-CN"/>
        </w:rPr>
        <w:t>供应商</w:t>
      </w:r>
      <w:r>
        <w:rPr>
          <w:rStyle w:val="17"/>
          <w:rFonts w:hint="eastAsia" w:ascii="宋体" w:hAnsi="宋体" w:eastAsia="宋体" w:cs="宋体"/>
          <w:bCs/>
          <w:color w:val="auto"/>
          <w:sz w:val="32"/>
          <w:szCs w:val="32"/>
          <w:highlight w:val="none"/>
          <w:shd w:val="clear" w:color="auto" w:fill="FFFFFF"/>
        </w:rPr>
        <w:t>的资格要求</w:t>
      </w:r>
    </w:p>
    <w:p>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t>具有合法的法人资格，并在法律、财务上与项目经办人不存在关联关系；</w:t>
      </w:r>
    </w:p>
    <w:p>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t>报价设备或服务须在其法定营业范围内； </w:t>
      </w:r>
    </w:p>
    <w:p>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t>提供有效的三证合一的营业执照、医疗器械经营许可证的副本原件； </w:t>
      </w:r>
    </w:p>
    <w:p>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t>单位负责人为同一人或者存在直接控股、管理关系的不同</w:t>
      </w:r>
      <w:r>
        <w:rPr>
          <w:rStyle w:val="17"/>
          <w:rFonts w:hint="eastAsia" w:cs="宋体"/>
          <w:b w:val="0"/>
          <w:bCs w:val="0"/>
          <w:i w:val="0"/>
          <w:iCs w:val="0"/>
          <w:caps w:val="0"/>
          <w:color w:val="auto"/>
          <w:spacing w:val="0"/>
          <w:sz w:val="27"/>
          <w:szCs w:val="27"/>
          <w:highlight w:val="none"/>
          <w:shd w:val="clear" w:fill="FFFFFF"/>
          <w:vertAlign w:val="baseline"/>
          <w:lang w:val="en-US"/>
        </w:rPr>
        <w:t>供应商</w:t>
      </w: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t>；不得参加同一合同项下的谈判活动。</w:t>
      </w:r>
    </w:p>
    <w:p>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t>提供偏离情况响应表，必须完全满足带"★"号条款中要求。</w:t>
      </w:r>
    </w:p>
    <w:p>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Style w:val="17"/>
          <w:rFonts w:hint="eastAsia" w:ascii="宋体" w:hAnsi="宋体" w:eastAsia="宋体" w:cs="宋体"/>
          <w:b/>
          <w:bCs/>
          <w:i w:val="0"/>
          <w:iCs w:val="0"/>
          <w:caps w:val="0"/>
          <w:color w:val="auto"/>
          <w:spacing w:val="0"/>
          <w:sz w:val="32"/>
          <w:szCs w:val="32"/>
          <w:highlight w:val="none"/>
          <w:shd w:val="clear" w:fill="FFFFFF"/>
          <w:vertAlign w:val="baseline"/>
          <w:lang w:val="en-US"/>
        </w:rPr>
      </w:pPr>
      <w:r>
        <w:rPr>
          <w:rStyle w:val="17"/>
          <w:rFonts w:hint="eastAsia" w:ascii="宋体" w:hAnsi="宋体" w:eastAsia="宋体" w:cs="宋体"/>
          <w:b/>
          <w:bCs/>
          <w:i w:val="0"/>
          <w:iCs w:val="0"/>
          <w:caps w:val="0"/>
          <w:color w:val="auto"/>
          <w:spacing w:val="0"/>
          <w:sz w:val="32"/>
          <w:szCs w:val="32"/>
          <w:highlight w:val="none"/>
          <w:shd w:val="clear" w:fill="FFFFFF"/>
          <w:vertAlign w:val="baseline"/>
          <w:lang w:val="en-US" w:eastAsia="zh-CN"/>
        </w:rPr>
        <w:t>递交报价文件截止时间、递交方式</w:t>
      </w:r>
    </w:p>
    <w:p>
      <w:pPr>
        <w:pStyle w:val="1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eastAsia="zh-CN"/>
        </w:rPr>
        <w:t>递交</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w:t>
      </w:r>
      <w:r>
        <w:rPr>
          <w:rFonts w:hint="eastAsia" w:ascii="宋体" w:hAnsi="宋体" w:eastAsia="宋体" w:cs="宋体"/>
          <w:i w:val="0"/>
          <w:iCs w:val="0"/>
          <w:caps w:val="0"/>
          <w:color w:val="auto"/>
          <w:spacing w:val="0"/>
          <w:sz w:val="27"/>
          <w:szCs w:val="27"/>
          <w:highlight w:val="none"/>
          <w:shd w:val="clear" w:fill="FFFFFF"/>
          <w:vertAlign w:val="baseline"/>
        </w:rPr>
        <w:t>截止时间：</w:t>
      </w:r>
      <w:r>
        <w:rPr>
          <w:rFonts w:hint="eastAsia" w:cs="宋体"/>
          <w:i w:val="0"/>
          <w:iCs w:val="0"/>
          <w:caps w:val="0"/>
          <w:color w:val="auto"/>
          <w:spacing w:val="0"/>
          <w:sz w:val="27"/>
          <w:szCs w:val="27"/>
          <w:highlight w:val="none"/>
          <w:shd w:val="clear" w:fill="FFFFFF"/>
          <w:vertAlign w:val="baseline"/>
          <w:lang w:val="en-US" w:eastAsia="zh-CN"/>
        </w:rPr>
        <w:t>2022年6月21日14:00</w:t>
      </w:r>
      <w:r>
        <w:rPr>
          <w:rFonts w:hint="eastAsia" w:ascii="宋体" w:hAnsi="宋体" w:eastAsia="宋体" w:cs="宋体"/>
          <w:i w:val="0"/>
          <w:iCs w:val="0"/>
          <w:caps w:val="0"/>
          <w:color w:val="auto"/>
          <w:spacing w:val="0"/>
          <w:sz w:val="27"/>
          <w:szCs w:val="27"/>
          <w:highlight w:val="none"/>
          <w:shd w:val="clear" w:fill="FFFFFF"/>
          <w:vertAlign w:val="baseline"/>
        </w:rPr>
        <w:t>（北京时间）</w:t>
      </w:r>
    </w:p>
    <w:p>
      <w:pPr>
        <w:pStyle w:val="1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报价文件递交份数：</w:t>
      </w:r>
      <w:r>
        <w:rPr>
          <w:rFonts w:hint="eastAsia" w:cs="宋体"/>
          <w:i w:val="0"/>
          <w:iCs w:val="0"/>
          <w:caps w:val="0"/>
          <w:color w:val="auto"/>
          <w:spacing w:val="0"/>
          <w:sz w:val="27"/>
          <w:szCs w:val="27"/>
          <w:highlight w:val="none"/>
          <w:shd w:val="clear" w:fill="FFFFFF"/>
          <w:vertAlign w:val="baseline"/>
          <w:lang w:val="en-US" w:eastAsia="zh-CN"/>
        </w:rPr>
        <w:t>6份（1正5副）</w:t>
      </w:r>
    </w:p>
    <w:p>
      <w:pPr>
        <w:pStyle w:val="1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报价文件递交方式（以下方式均可）：</w:t>
      </w:r>
    </w:p>
    <w:p>
      <w:pPr>
        <w:pStyle w:val="1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电子邮件：</w:t>
      </w:r>
      <w:r>
        <w:rPr>
          <w:rFonts w:hint="eastAsia" w:cs="宋体"/>
          <w:b w:val="0"/>
          <w:bCs w:val="0"/>
          <w:i w:val="0"/>
          <w:iCs w:val="0"/>
          <w:caps w:val="0"/>
          <w:color w:val="auto"/>
          <w:spacing w:val="0"/>
          <w:sz w:val="27"/>
          <w:szCs w:val="27"/>
          <w:highlight w:val="none"/>
          <w:shd w:val="clear" w:fill="FFFFFF"/>
          <w:vertAlign w:val="baseline"/>
          <w:lang w:val="en-US" w:eastAsia="zh-CN"/>
        </w:rPr>
        <w:t>YXZB3787@126.com</w:t>
      </w:r>
    </w:p>
    <w:p>
      <w:pPr>
        <w:pStyle w:val="1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文件邮寄：</w:t>
      </w:r>
      <w:r>
        <w:rPr>
          <w:rFonts w:hint="eastAsia" w:cs="宋体"/>
          <w:b w:val="0"/>
          <w:bCs w:val="0"/>
          <w:i w:val="0"/>
          <w:iCs w:val="0"/>
          <w:caps w:val="0"/>
          <w:color w:val="auto"/>
          <w:spacing w:val="0"/>
          <w:sz w:val="27"/>
          <w:szCs w:val="27"/>
          <w:highlight w:val="none"/>
          <w:shd w:val="clear" w:fill="FFFFFF"/>
          <w:vertAlign w:val="baseline"/>
          <w:lang w:val="en-US" w:eastAsia="zh-CN"/>
        </w:rPr>
        <w:t>广东省</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中山市小榄镇菊城大道中65</w:t>
      </w:r>
      <w:r>
        <w:rPr>
          <w:rFonts w:hint="eastAsia" w:cs="宋体"/>
          <w:b w:val="0"/>
          <w:bCs w:val="0"/>
          <w:i w:val="0"/>
          <w:iCs w:val="0"/>
          <w:caps w:val="0"/>
          <w:color w:val="auto"/>
          <w:spacing w:val="0"/>
          <w:sz w:val="27"/>
          <w:szCs w:val="27"/>
          <w:highlight w:val="none"/>
          <w:shd w:val="clear" w:fill="FFFFFF"/>
          <w:vertAlign w:val="baseline"/>
          <w:lang w:val="en-US" w:eastAsia="zh-CN"/>
        </w:rPr>
        <w:t>号</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（小榄人民医院</w:t>
      </w:r>
      <w:r>
        <w:rPr>
          <w:rFonts w:hint="eastAsia" w:cs="宋体"/>
          <w:b w:val="0"/>
          <w:bCs w:val="0"/>
          <w:i w:val="0"/>
          <w:iCs w:val="0"/>
          <w:caps w:val="0"/>
          <w:color w:val="auto"/>
          <w:spacing w:val="0"/>
          <w:sz w:val="27"/>
          <w:szCs w:val="27"/>
          <w:highlight w:val="none"/>
          <w:shd w:val="clear" w:fill="FFFFFF"/>
          <w:vertAlign w:val="baseline"/>
          <w:lang w:val="en-US" w:eastAsia="zh-CN"/>
        </w:rPr>
        <w:t>内科楼9       楼</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医学装备科）</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default"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收件人：</w:t>
      </w:r>
      <w:r>
        <w:rPr>
          <w:rFonts w:hint="eastAsia" w:cs="宋体"/>
          <w:b w:val="0"/>
          <w:bCs w:val="0"/>
          <w:i w:val="0"/>
          <w:iCs w:val="0"/>
          <w:caps w:val="0"/>
          <w:color w:val="auto"/>
          <w:spacing w:val="0"/>
          <w:sz w:val="27"/>
          <w:szCs w:val="27"/>
          <w:highlight w:val="none"/>
          <w:shd w:val="clear" w:fill="FFFFFF"/>
          <w:vertAlign w:val="baseline"/>
          <w:lang w:val="en-US" w:eastAsia="zh-CN"/>
        </w:rPr>
        <w:t>吴小姐</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default"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收件电话：0760-88662120-</w:t>
      </w:r>
      <w:r>
        <w:rPr>
          <w:rFonts w:hint="eastAsia" w:cs="宋体"/>
          <w:b w:val="0"/>
          <w:bCs w:val="0"/>
          <w:i w:val="0"/>
          <w:iCs w:val="0"/>
          <w:caps w:val="0"/>
          <w:color w:val="auto"/>
          <w:spacing w:val="0"/>
          <w:sz w:val="27"/>
          <w:szCs w:val="27"/>
          <w:highlight w:val="none"/>
          <w:shd w:val="clear" w:fill="FFFFFF"/>
          <w:vertAlign w:val="baseline"/>
          <w:lang w:val="en-US" w:eastAsia="zh-CN"/>
        </w:rPr>
        <w:t>1616</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收件地址：中山市小榄镇菊城大道中65号（小榄人民医院医学装备科）</w:t>
      </w:r>
    </w:p>
    <w:p>
      <w:pPr>
        <w:pStyle w:val="12"/>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17"/>
          <w:rFonts w:hint="eastAsia" w:ascii="宋体" w:hAnsi="宋体" w:eastAsia="宋体" w:cs="宋体"/>
          <w:bCs/>
          <w:color w:val="auto"/>
          <w:sz w:val="32"/>
          <w:szCs w:val="32"/>
          <w:highlight w:val="none"/>
          <w:shd w:val="clear" w:color="auto" w:fill="FFFFFF"/>
        </w:rPr>
        <w:t>公告期限</w:t>
      </w:r>
    </w:p>
    <w:p>
      <w:pPr>
        <w:pStyle w:val="12"/>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420"/>
        <w:textAlignment w:val="baseline"/>
        <w:rPr>
          <w:rStyle w:val="17"/>
          <w:rFonts w:hint="eastAsia" w:ascii="宋体" w:hAnsi="宋体" w:eastAsia="宋体" w:cs="宋体"/>
          <w:bCs/>
          <w:color w:val="auto"/>
          <w:sz w:val="27"/>
          <w:szCs w:val="27"/>
          <w:highlight w:val="none"/>
          <w:shd w:val="clear" w:color="auto" w:fill="FFFFFF"/>
        </w:rPr>
      </w:pPr>
      <w:r>
        <w:rPr>
          <w:rFonts w:hint="eastAsia" w:ascii="宋体" w:hAnsi="宋体" w:eastAsia="宋体" w:cs="宋体"/>
          <w:color w:val="auto"/>
          <w:sz w:val="27"/>
          <w:szCs w:val="27"/>
          <w:highlight w:val="none"/>
          <w:shd w:val="clear" w:color="auto" w:fill="FFFFFF"/>
        </w:rPr>
        <w:t>自本公告发布之日起</w:t>
      </w:r>
      <w:r>
        <w:rPr>
          <w:rFonts w:hint="eastAsia" w:ascii="宋体" w:hAnsi="宋体" w:eastAsia="宋体" w:cs="宋体"/>
          <w:color w:val="auto"/>
          <w:sz w:val="27"/>
          <w:szCs w:val="27"/>
          <w:highlight w:val="none"/>
          <w:shd w:val="clear" w:color="auto" w:fill="FFFFFF"/>
          <w:lang w:val="en-US" w:eastAsia="zh-CN"/>
        </w:rPr>
        <w:t>五</w:t>
      </w:r>
      <w:r>
        <w:rPr>
          <w:rFonts w:hint="eastAsia" w:ascii="宋体" w:hAnsi="宋体" w:eastAsia="宋体" w:cs="宋体"/>
          <w:color w:val="auto"/>
          <w:sz w:val="27"/>
          <w:szCs w:val="27"/>
          <w:highlight w:val="none"/>
          <w:shd w:val="clear" w:color="auto" w:fill="FFFFFF"/>
        </w:rPr>
        <w:t>个工作日。</w:t>
      </w:r>
    </w:p>
    <w:p>
      <w:pPr>
        <w:pStyle w:val="12"/>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17"/>
          <w:rFonts w:hint="eastAsia" w:ascii="宋体" w:hAnsi="宋体" w:eastAsia="宋体" w:cs="宋体"/>
          <w:bCs/>
          <w:color w:val="auto"/>
          <w:sz w:val="32"/>
          <w:szCs w:val="32"/>
          <w:highlight w:val="none"/>
          <w:shd w:val="clear" w:color="auto" w:fill="FFFFFF"/>
          <w:lang w:eastAsia="zh-CN"/>
        </w:rPr>
        <w:t>报价文件</w:t>
      </w:r>
      <w:r>
        <w:rPr>
          <w:rStyle w:val="17"/>
          <w:rFonts w:hint="eastAsia" w:ascii="宋体" w:hAnsi="宋体" w:eastAsia="宋体" w:cs="宋体"/>
          <w:bCs/>
          <w:color w:val="auto"/>
          <w:sz w:val="32"/>
          <w:szCs w:val="32"/>
          <w:highlight w:val="none"/>
          <w:shd w:val="clear" w:color="auto" w:fill="FFFFFF"/>
        </w:rPr>
        <w:t>要求</w:t>
      </w:r>
    </w:p>
    <w:p>
      <w:pPr>
        <w:pStyle w:val="12"/>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auto"/>
          <w:sz w:val="27"/>
          <w:szCs w:val="27"/>
          <w:highlight w:val="none"/>
          <w:shd w:val="clear" w:color="auto" w:fill="FFFFFF"/>
        </w:rPr>
      </w:pPr>
      <w:r>
        <w:rPr>
          <w:rFonts w:hint="eastAsia" w:ascii="宋体" w:hAnsi="宋体" w:eastAsia="宋体" w:cs="宋体"/>
          <w:color w:val="auto"/>
          <w:sz w:val="27"/>
          <w:szCs w:val="27"/>
          <w:highlight w:val="none"/>
          <w:shd w:val="clear" w:color="auto" w:fill="FFFFFF"/>
        </w:rPr>
        <w:t>报名时请各供应商按照以下要求提供完整的</w:t>
      </w:r>
      <w:r>
        <w:rPr>
          <w:rFonts w:hint="eastAsia" w:ascii="宋体" w:hAnsi="宋体" w:eastAsia="宋体" w:cs="宋体"/>
          <w:color w:val="auto"/>
          <w:sz w:val="27"/>
          <w:szCs w:val="27"/>
          <w:highlight w:val="none"/>
          <w:shd w:val="clear" w:color="auto" w:fill="FFFFFF"/>
          <w:lang w:eastAsia="zh-CN"/>
        </w:rPr>
        <w:t>报价文件</w:t>
      </w:r>
      <w:r>
        <w:rPr>
          <w:rFonts w:hint="eastAsia" w:ascii="宋体" w:hAnsi="宋体" w:eastAsia="宋体" w:cs="宋体"/>
          <w:color w:val="auto"/>
          <w:sz w:val="27"/>
          <w:szCs w:val="27"/>
          <w:highlight w:val="none"/>
          <w:shd w:val="clear" w:color="auto" w:fill="FFFFFF"/>
        </w:rPr>
        <w:t>，供</w:t>
      </w:r>
      <w:r>
        <w:rPr>
          <w:rFonts w:hint="eastAsia" w:ascii="宋体" w:hAnsi="宋体" w:eastAsia="宋体" w:cs="宋体"/>
          <w:color w:val="auto"/>
          <w:sz w:val="27"/>
          <w:szCs w:val="27"/>
          <w:highlight w:val="none"/>
          <w:shd w:val="clear" w:color="auto" w:fill="FFFFFF"/>
          <w:lang w:eastAsia="zh-CN"/>
        </w:rPr>
        <w:t>采购人</w:t>
      </w:r>
      <w:r>
        <w:rPr>
          <w:rFonts w:hint="eastAsia" w:ascii="宋体" w:hAnsi="宋体" w:eastAsia="宋体" w:cs="宋体"/>
          <w:color w:val="auto"/>
          <w:sz w:val="27"/>
          <w:szCs w:val="27"/>
          <w:highlight w:val="none"/>
          <w:shd w:val="clear" w:color="auto" w:fill="FFFFFF"/>
        </w:rPr>
        <w:t>进行</w:t>
      </w:r>
      <w:r>
        <w:rPr>
          <w:rFonts w:hint="eastAsia" w:ascii="宋体" w:hAnsi="宋体" w:eastAsia="宋体" w:cs="宋体"/>
          <w:color w:val="auto"/>
          <w:sz w:val="27"/>
          <w:szCs w:val="27"/>
          <w:highlight w:val="none"/>
          <w:shd w:val="clear" w:color="auto" w:fill="FFFFFF"/>
          <w:lang w:eastAsia="zh-CN"/>
        </w:rPr>
        <w:t>预审</w:t>
      </w:r>
      <w:r>
        <w:rPr>
          <w:rFonts w:hint="eastAsia" w:ascii="宋体" w:hAnsi="宋体" w:eastAsia="宋体" w:cs="宋体"/>
          <w:color w:val="auto"/>
          <w:sz w:val="27"/>
          <w:szCs w:val="27"/>
          <w:highlight w:val="none"/>
          <w:shd w:val="clear" w:color="auto" w:fill="FFFFFF"/>
        </w:rPr>
        <w:t>：</w:t>
      </w:r>
    </w:p>
    <w:p>
      <w:pPr>
        <w:pStyle w:val="7"/>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偏离表</w:t>
      </w:r>
    </w:p>
    <w:p>
      <w:pPr>
        <w:pStyle w:val="7"/>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报价单</w:t>
      </w:r>
    </w:p>
    <w:p>
      <w:pPr>
        <w:pStyle w:val="7"/>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法定代表人证明书及其授权委托书</w:t>
      </w:r>
    </w:p>
    <w:p>
      <w:pPr>
        <w:pStyle w:val="7"/>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单位负责人为同一人或者存在直接控股、管理关系的不同报价人，不得参加同一合同项下的谈判活动，供应商在参与本次谈判活动中未有围标、串标行为。并出具《无围标、串标行为承诺书》、《无关联关系声明函》（加盖公章）。</w:t>
      </w:r>
    </w:p>
    <w:p>
      <w:pPr>
        <w:pStyle w:val="7"/>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厂家资质证件（包括但不限于营业执照）</w:t>
      </w:r>
    </w:p>
    <w:p>
      <w:pPr>
        <w:pStyle w:val="7"/>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各级经销商资质证件（包括但不限于营业执照）</w:t>
      </w:r>
    </w:p>
    <w:p>
      <w:pPr>
        <w:pStyle w:val="7"/>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售后服务承诺函</w:t>
      </w:r>
      <w:r>
        <w:rPr>
          <w:rFonts w:hint="eastAsia" w:ascii="宋体" w:hAnsi="宋体" w:eastAsia="宋体" w:cs="宋体"/>
          <w:color w:val="auto"/>
          <w:sz w:val="27"/>
          <w:szCs w:val="27"/>
          <w:highlight w:val="none"/>
        </w:rPr>
        <w:tab/>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Style w:val="17"/>
          <w:rFonts w:hint="eastAsia" w:ascii="宋体" w:hAnsi="宋体" w:eastAsia="宋体" w:cs="宋体"/>
          <w:b/>
          <w:bCs/>
          <w:i w:val="0"/>
          <w:iCs w:val="0"/>
          <w:caps w:val="0"/>
          <w:color w:val="auto"/>
          <w:spacing w:val="0"/>
          <w:sz w:val="27"/>
          <w:szCs w:val="27"/>
          <w:highlight w:val="none"/>
          <w:shd w:val="clear" w:fill="FFFFFF"/>
          <w:vertAlign w:val="baseline"/>
          <w:lang w:val="en-US" w:eastAsia="zh-CN"/>
        </w:rPr>
      </w:pPr>
      <w:r>
        <w:rPr>
          <w:rStyle w:val="17"/>
          <w:rFonts w:hint="eastAsia" w:ascii="宋体" w:hAnsi="宋体" w:eastAsia="宋体" w:cs="宋体"/>
          <w:b/>
          <w:bCs/>
          <w:i w:val="0"/>
          <w:iCs w:val="0"/>
          <w:caps w:val="0"/>
          <w:color w:val="auto"/>
          <w:spacing w:val="0"/>
          <w:sz w:val="27"/>
          <w:szCs w:val="27"/>
          <w:highlight w:val="none"/>
          <w:shd w:val="clear" w:fill="FFFFFF"/>
          <w:vertAlign w:val="baseline"/>
          <w:lang w:val="en-US" w:eastAsia="zh-CN"/>
        </w:rPr>
        <w:t>注：</w:t>
      </w:r>
    </w:p>
    <w:p>
      <w:pPr>
        <w:pStyle w:val="1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以上文件均需盖公章。</w:t>
      </w:r>
    </w:p>
    <w:p>
      <w:pPr>
        <w:pStyle w:val="1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供应商需与法人代表（或法定代表人授权委托人）一致。</w:t>
      </w:r>
    </w:p>
    <w:p>
      <w:pPr>
        <w:pStyle w:val="1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17"/>
          <w:rFonts w:hint="eastAsia" w:ascii="宋体" w:hAnsi="宋体" w:eastAsia="宋体" w:cs="宋体"/>
          <w:b w:val="0"/>
          <w:bCs w:val="0"/>
          <w:color w:val="auto"/>
          <w:sz w:val="27"/>
          <w:szCs w:val="27"/>
          <w:highlight w:val="none"/>
          <w:shd w:val="clear" w:color="auto" w:fill="FFFFFF"/>
        </w:rPr>
      </w:pP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预审通过后，采购人以电子邮件方式等方式通知供应商过进入下一阶段流程。</w:t>
      </w:r>
    </w:p>
    <w:p>
      <w:pPr>
        <w:pStyle w:val="12"/>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Style w:val="17"/>
          <w:rFonts w:hint="eastAsia" w:ascii="宋体" w:hAnsi="宋体" w:eastAsia="宋体" w:cs="宋体"/>
          <w:bCs/>
          <w:color w:val="auto"/>
          <w:sz w:val="27"/>
          <w:szCs w:val="27"/>
          <w:highlight w:val="none"/>
          <w:shd w:val="clear" w:color="auto" w:fill="FFFFFF"/>
        </w:rPr>
      </w:pPr>
      <w:r>
        <w:rPr>
          <w:rStyle w:val="17"/>
          <w:rFonts w:hint="eastAsia" w:ascii="宋体" w:hAnsi="宋体" w:eastAsia="宋体" w:cs="宋体"/>
          <w:bCs/>
          <w:color w:val="auto"/>
          <w:sz w:val="27"/>
          <w:szCs w:val="27"/>
          <w:highlight w:val="none"/>
          <w:shd w:val="clear" w:color="auto" w:fill="FFFFFF"/>
          <w:lang w:val="en-US" w:eastAsia="zh-CN"/>
        </w:rPr>
        <w:t>其他补充事宜</w:t>
      </w:r>
    </w:p>
    <w:p>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如现场提供资料与电子资料存在不一致，以纸质盖章资料为准。</w:t>
      </w:r>
    </w:p>
    <w:p>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本项目不接受联合体响应。</w:t>
      </w:r>
    </w:p>
    <w:p>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Style w:val="17"/>
          <w:rFonts w:hint="eastAsia" w:ascii="宋体" w:hAnsi="宋体" w:eastAsia="宋体" w:cs="宋体"/>
          <w:b w:val="0"/>
          <w:bCs w:val="0"/>
          <w:color w:val="auto"/>
          <w:sz w:val="27"/>
          <w:szCs w:val="27"/>
          <w:highlight w:val="none"/>
          <w:shd w:val="clear" w:color="auto" w:fill="FFFFFF"/>
        </w:rPr>
      </w:pPr>
      <w:r>
        <w:rPr>
          <w:rFonts w:hint="eastAsia" w:ascii="宋体" w:hAnsi="宋体" w:eastAsia="宋体" w:cs="宋体"/>
          <w:b w:val="0"/>
          <w:bCs w:val="0"/>
          <w:i w:val="0"/>
          <w:iCs w:val="0"/>
          <w:caps w:val="0"/>
          <w:color w:val="auto"/>
          <w:spacing w:val="0"/>
          <w:sz w:val="27"/>
          <w:szCs w:val="27"/>
          <w:highlight w:val="none"/>
          <w:shd w:val="clear" w:fill="FFFFFF"/>
          <w:vertAlign w:val="baseline"/>
          <w:lang w:eastAsia="zh-CN"/>
        </w:rPr>
        <w:t>递交报价文件</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截止前，</w:t>
      </w:r>
      <w:r>
        <w:rPr>
          <w:rFonts w:hint="eastAsia" w:ascii="宋体" w:hAnsi="宋体" w:eastAsia="宋体" w:cs="宋体"/>
          <w:b w:val="0"/>
          <w:bCs w:val="0"/>
          <w:i w:val="0"/>
          <w:iCs w:val="0"/>
          <w:caps w:val="0"/>
          <w:color w:val="auto"/>
          <w:spacing w:val="0"/>
          <w:sz w:val="27"/>
          <w:szCs w:val="27"/>
          <w:highlight w:val="none"/>
          <w:shd w:val="clear" w:fill="FFFFFF"/>
          <w:vertAlign w:val="baseline"/>
        </w:rPr>
        <w:t>需提供</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完整的报价文件供采购人</w:t>
      </w:r>
      <w:r>
        <w:rPr>
          <w:rFonts w:hint="eastAsia" w:ascii="宋体" w:hAnsi="宋体" w:eastAsia="宋体" w:cs="宋体"/>
          <w:b w:val="0"/>
          <w:bCs w:val="0"/>
          <w:i w:val="0"/>
          <w:iCs w:val="0"/>
          <w:caps w:val="0"/>
          <w:color w:val="auto"/>
          <w:spacing w:val="0"/>
          <w:sz w:val="27"/>
          <w:szCs w:val="27"/>
          <w:highlight w:val="none"/>
          <w:shd w:val="clear" w:fill="FFFFFF"/>
          <w:vertAlign w:val="baseline"/>
          <w:lang w:eastAsia="zh-CN"/>
        </w:rPr>
        <w:t>预审</w:t>
      </w:r>
      <w:r>
        <w:rPr>
          <w:rFonts w:hint="eastAsia" w:ascii="宋体" w:hAnsi="宋体" w:eastAsia="宋体" w:cs="宋体"/>
          <w:b w:val="0"/>
          <w:bCs w:val="0"/>
          <w:i w:val="0"/>
          <w:iCs w:val="0"/>
          <w:caps w:val="0"/>
          <w:color w:val="auto"/>
          <w:spacing w:val="0"/>
          <w:sz w:val="27"/>
          <w:szCs w:val="27"/>
          <w:highlight w:val="none"/>
          <w:shd w:val="clear" w:fill="FFFFFF"/>
          <w:vertAlign w:val="baseline"/>
        </w:rPr>
        <w:t>，资料不全</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或不通过</w:t>
      </w:r>
      <w:r>
        <w:rPr>
          <w:rFonts w:hint="eastAsia" w:ascii="宋体" w:hAnsi="宋体" w:eastAsia="宋体" w:cs="宋体"/>
          <w:b w:val="0"/>
          <w:bCs w:val="0"/>
          <w:i w:val="0"/>
          <w:iCs w:val="0"/>
          <w:caps w:val="0"/>
          <w:color w:val="auto"/>
          <w:spacing w:val="0"/>
          <w:sz w:val="27"/>
          <w:szCs w:val="27"/>
          <w:highlight w:val="none"/>
          <w:shd w:val="clear" w:fill="FFFFFF"/>
          <w:vertAlign w:val="baseline"/>
        </w:rPr>
        <w:t>者，</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报名无效</w:t>
      </w:r>
      <w:r>
        <w:rPr>
          <w:rFonts w:hint="eastAsia" w:ascii="宋体" w:hAnsi="宋体" w:eastAsia="宋体" w:cs="宋体"/>
          <w:b w:val="0"/>
          <w:bCs w:val="0"/>
          <w:i w:val="0"/>
          <w:iCs w:val="0"/>
          <w:caps w:val="0"/>
          <w:color w:val="auto"/>
          <w:spacing w:val="0"/>
          <w:sz w:val="27"/>
          <w:szCs w:val="27"/>
          <w:highlight w:val="none"/>
          <w:shd w:val="clear" w:fill="FFFFFF"/>
          <w:vertAlign w:val="baseline"/>
        </w:rPr>
        <w:t>。</w:t>
      </w:r>
    </w:p>
    <w:p>
      <w:pPr>
        <w:pStyle w:val="12"/>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监督部门联系方式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联系人：曾老师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联系电话：0760-88662120-1621</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rPr>
        <w:t>地 址：</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中山市小榄镇菊城大道中65号</w:t>
      </w:r>
      <w:r>
        <w:rPr>
          <w:rFonts w:hint="eastAsia" w:cs="宋体"/>
          <w:i w:val="0"/>
          <w:iCs w:val="0"/>
          <w:caps w:val="0"/>
          <w:color w:val="auto"/>
          <w:spacing w:val="0"/>
          <w:sz w:val="27"/>
          <w:szCs w:val="27"/>
          <w:highlight w:val="none"/>
          <w:shd w:val="clear" w:fill="FFFFFF"/>
          <w:vertAlign w:val="baseline"/>
          <w:lang w:val="en-US" w:eastAsia="zh-CN"/>
        </w:rPr>
        <w:t>内科大楼九</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楼</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jc w:val="right"/>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kern w:val="0"/>
          <w:sz w:val="28"/>
          <w:szCs w:val="28"/>
          <w:highlight w:val="none"/>
          <w:shd w:val="clear" w:color="auto" w:fill="FFFFFF"/>
          <w:vertAlign w:val="baseline"/>
          <w:lang w:val="en-US" w:eastAsia="zh-CN" w:bidi="ar"/>
        </w:rPr>
        <w:t>中山市小榄人民医院</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auto"/>
          <w:spacing w:val="0"/>
          <w:sz w:val="28"/>
          <w:szCs w:val="28"/>
          <w:highlight w:val="none"/>
        </w:rPr>
      </w:pPr>
      <w:r>
        <w:rPr>
          <w:rFonts w:hint="eastAsia" w:cs="宋体"/>
          <w:i w:val="0"/>
          <w:iCs w:val="0"/>
          <w:caps w:val="0"/>
          <w:color w:val="auto"/>
          <w:spacing w:val="0"/>
          <w:sz w:val="28"/>
          <w:szCs w:val="28"/>
          <w:highlight w:val="none"/>
          <w:shd w:val="clear" w:color="auto" w:fill="FFFFFF"/>
          <w:vertAlign w:val="baseline"/>
          <w:lang w:val="en-US" w:eastAsia="zh-CN"/>
        </w:rPr>
        <w:t>2022年 6月14日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360" w:lineRule="auto"/>
        <w:jc w:val="center"/>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pStyle w:val="4"/>
        <w:bidi w:val="0"/>
        <w:jc w:val="center"/>
        <w:rPr>
          <w:rFonts w:hint="eastAsia"/>
          <w:lang w:eastAsia="zh-CN"/>
        </w:rPr>
      </w:pPr>
      <w:bookmarkStart w:id="2" w:name="_Toc26272341"/>
      <w:bookmarkStart w:id="3" w:name="_Toc12623"/>
      <w:r>
        <w:rPr>
          <w:rFonts w:hint="eastAsia"/>
        </w:rPr>
        <w:t>第二部分　</w:t>
      </w:r>
      <w:bookmarkEnd w:id="2"/>
      <w:r>
        <w:rPr>
          <w:rFonts w:hint="eastAsia"/>
          <w:lang w:eastAsia="zh-CN"/>
        </w:rPr>
        <w:t>采购需求书</w:t>
      </w:r>
      <w:bookmarkEnd w:id="3"/>
    </w:p>
    <w:p>
      <w:pPr>
        <w:pStyle w:val="7"/>
        <w:adjustRightInd w:val="0"/>
        <w:snapToGrid w:val="0"/>
        <w:spacing w:line="360" w:lineRule="auto"/>
        <w:jc w:val="cente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br w:type="page"/>
      </w:r>
    </w:p>
    <w:p>
      <w:pPr>
        <w:keepNext w:val="0"/>
        <w:keepLines w:val="0"/>
        <w:pageBreakBefore w:val="0"/>
        <w:numPr>
          <w:ilvl w:val="0"/>
          <w:numId w:val="0"/>
        </w:numPr>
        <w:kinsoku/>
        <w:topLinePunct w:val="0"/>
        <w:bidi w:val="0"/>
        <w:spacing w:line="500" w:lineRule="exact"/>
        <w:jc w:val="center"/>
        <w:textAlignment w:val="auto"/>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采购需求书</w:t>
      </w:r>
    </w:p>
    <w:p>
      <w:pPr>
        <w:spacing w:line="360" w:lineRule="auto"/>
        <w:rPr>
          <w:b/>
        </w:rPr>
      </w:pPr>
      <w:r>
        <w:rPr>
          <w:b/>
        </w:rPr>
        <w:t>一、项目基本要求</w:t>
      </w:r>
    </w:p>
    <w:p>
      <w:pPr>
        <w:pStyle w:val="19"/>
        <w:numPr>
          <w:ilvl w:val="0"/>
          <w:numId w:val="8"/>
        </w:numPr>
        <w:spacing w:line="300" w:lineRule="auto"/>
        <w:ind w:left="0" w:firstLine="420"/>
      </w:pPr>
      <w:r>
        <w:rPr>
          <w:rFonts w:hint="eastAsia"/>
        </w:rPr>
        <w:t>项目名称：中山市小榄人民医院电类材料协议供货（一年）</w:t>
      </w:r>
    </w:p>
    <w:p>
      <w:pPr>
        <w:pStyle w:val="19"/>
        <w:numPr>
          <w:ilvl w:val="0"/>
          <w:numId w:val="8"/>
        </w:numPr>
        <w:spacing w:line="300" w:lineRule="auto"/>
        <w:ind w:left="0" w:firstLine="420"/>
      </w:pPr>
      <w:r>
        <w:rPr>
          <w:rFonts w:hint="eastAsia"/>
        </w:rPr>
        <w:t>未经采购人同意，成交供应商不得以任何方式转包或分包本项目。</w:t>
      </w:r>
    </w:p>
    <w:p>
      <w:pPr>
        <w:pStyle w:val="19"/>
        <w:numPr>
          <w:ilvl w:val="0"/>
          <w:numId w:val="8"/>
        </w:numPr>
        <w:spacing w:line="300" w:lineRule="auto"/>
        <w:ind w:left="0" w:firstLine="420"/>
      </w:pPr>
      <w:r>
        <w:rPr>
          <w:rFonts w:hint="eastAsia"/>
        </w:rPr>
        <w:t>如果在供货、安装、调试、培训等工作中出现的任何遗漏，均由成交供应商负责，采购人将不再支付任何费用。</w:t>
      </w:r>
    </w:p>
    <w:p>
      <w:pPr>
        <w:pStyle w:val="19"/>
        <w:numPr>
          <w:ilvl w:val="0"/>
          <w:numId w:val="8"/>
        </w:numPr>
        <w:spacing w:line="300" w:lineRule="auto"/>
        <w:ind w:left="0" w:firstLine="420"/>
        <w:rPr>
          <w:rFonts w:ascii="宋体" w:hAnsi="宋体" w:cs="宋体"/>
          <w:szCs w:val="21"/>
        </w:rPr>
      </w:pPr>
      <w:r>
        <w:rPr>
          <w:rFonts w:hint="eastAsia"/>
        </w:rPr>
        <w:t>本项目自合同签订之日起，协议供货时间为</w:t>
      </w:r>
      <w:r>
        <w:rPr>
          <w:rFonts w:hint="eastAsia"/>
          <w:b/>
          <w:bCs/>
          <w:u w:val="single"/>
        </w:rPr>
        <w:t>1</w:t>
      </w:r>
      <w:r>
        <w:rPr>
          <w:rFonts w:hint="eastAsia"/>
        </w:rPr>
        <w:t>年。本次采购为协议供货资格的取得，并不代表货物已售出，采购人无法预计也无法保证向成交供应商的品种及数量。采购人按照本单位使用情况下单所需物品数量，成交供应商不得对采购人所采购物品数量作要求或质疑。项目以协议供货期限到期或采购累计金额达到项目预算金额为结束时间点（按先达到的为准）。</w:t>
      </w:r>
    </w:p>
    <w:p>
      <w:pPr>
        <w:pStyle w:val="19"/>
        <w:numPr>
          <w:ilvl w:val="0"/>
          <w:numId w:val="8"/>
        </w:numPr>
        <w:spacing w:line="300" w:lineRule="auto"/>
        <w:ind w:left="0" w:firstLine="420"/>
        <w:rPr>
          <w:rFonts w:hint="eastAsia"/>
        </w:rPr>
      </w:pPr>
      <w:r>
        <w:rPr>
          <w:rFonts w:hint="eastAsia" w:ascii="宋体" w:hAnsi="宋体" w:cs="宋体"/>
          <w:szCs w:val="21"/>
        </w:rPr>
        <w:t>在供货期内，如个别产品遇到停产情况的，成交供应商需提前15天书面告知采购人并经采购人同意后，提供等同于或优于原参数的产品供采购人使用，不得断供，否则视为成交供应商违约。</w:t>
      </w:r>
    </w:p>
    <w:p>
      <w:pPr>
        <w:pStyle w:val="19"/>
        <w:numPr>
          <w:ilvl w:val="0"/>
          <w:numId w:val="8"/>
        </w:numPr>
        <w:spacing w:line="300" w:lineRule="auto"/>
        <w:ind w:left="0" w:firstLine="420"/>
        <w:rPr>
          <w:rFonts w:ascii="宋体" w:hAnsi="宋体" w:cs="宋体"/>
          <w:szCs w:val="21"/>
        </w:rPr>
      </w:pPr>
      <w:r>
        <w:rPr>
          <w:rFonts w:hint="eastAsia" w:asciiTheme="minorEastAsia" w:hAnsiTheme="minorEastAsia"/>
        </w:rPr>
        <w:t>★</w:t>
      </w:r>
      <w:r>
        <w:rPr>
          <w:rFonts w:hint="eastAsia" w:ascii="宋体" w:hAnsi="宋体" w:cs="宋体"/>
          <w:szCs w:val="21"/>
        </w:rPr>
        <w:t>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19"/>
        <w:numPr>
          <w:ilvl w:val="0"/>
          <w:numId w:val="8"/>
        </w:numPr>
        <w:spacing w:line="300" w:lineRule="auto"/>
        <w:ind w:left="0" w:firstLine="420"/>
      </w:pPr>
      <w:r>
        <w:rPr>
          <w:rFonts w:hint="eastAsia"/>
        </w:rPr>
        <w:t>标注“</w:t>
      </w:r>
      <w:r>
        <w:rPr>
          <w:rFonts w:hint="eastAsia" w:asciiTheme="minorEastAsia" w:hAnsiTheme="minorEastAsia"/>
        </w:rPr>
        <w:t>★</w:t>
      </w:r>
      <w:r>
        <w:rPr>
          <w:rFonts w:hint="eastAsia"/>
        </w:rPr>
        <w:t>”号条款为重要响应条款，不允许存在任何负偏离。如响应文件中对重要响应条款存在负偏离或未响应得，则将视为投标无效。</w:t>
      </w:r>
    </w:p>
    <w:p>
      <w:pPr>
        <w:pStyle w:val="19"/>
        <w:numPr>
          <w:ilvl w:val="0"/>
          <w:numId w:val="8"/>
        </w:numPr>
        <w:spacing w:line="300" w:lineRule="auto"/>
        <w:ind w:left="0" w:firstLine="420"/>
        <w:rPr>
          <w:rFonts w:hint="eastAsia"/>
        </w:rPr>
      </w:pPr>
      <w:r>
        <w:rPr>
          <w:rFonts w:hint="eastAsia"/>
        </w:rPr>
        <w:t>标注“</w:t>
      </w:r>
      <w:r>
        <w:rPr>
          <w:rFonts w:hint="eastAsia" w:asciiTheme="minorEastAsia" w:hAnsiTheme="minorEastAsia"/>
        </w:rPr>
        <w:t>▲</w:t>
      </w:r>
      <w:r>
        <w:rPr>
          <w:rFonts w:hint="eastAsia"/>
        </w:rPr>
        <w:t>”号条款为重要评分条款，如响应文件中对重要评分条款存在负偏离或未响应的，将导致其技术评审严重扣分。</w:t>
      </w:r>
    </w:p>
    <w:p>
      <w:pPr>
        <w:pStyle w:val="19"/>
        <w:spacing w:line="300" w:lineRule="auto"/>
        <w:ind w:left="420" w:firstLine="0" w:firstLineChars="0"/>
      </w:pPr>
    </w:p>
    <w:p>
      <w:pPr>
        <w:spacing w:line="360" w:lineRule="auto"/>
        <w:rPr>
          <w:b/>
        </w:rPr>
      </w:pPr>
      <w:r>
        <w:rPr>
          <w:rFonts w:hint="eastAsia"/>
          <w:b/>
        </w:rPr>
        <w:t>二、项目采购清单（报价含税）</w:t>
      </w:r>
    </w:p>
    <w:tbl>
      <w:tblPr>
        <w:tblStyle w:val="14"/>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187"/>
        <w:gridCol w:w="2705"/>
        <w:gridCol w:w="1377"/>
        <w:gridCol w:w="1378"/>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14"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序号</w:t>
            </w:r>
          </w:p>
        </w:tc>
        <w:tc>
          <w:tcPr>
            <w:tcW w:w="218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名称</w:t>
            </w:r>
          </w:p>
        </w:tc>
        <w:tc>
          <w:tcPr>
            <w:tcW w:w="2705"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优于或相当于以下同等档次品牌</w:t>
            </w:r>
          </w:p>
        </w:tc>
        <w:tc>
          <w:tcPr>
            <w:tcW w:w="1377" w:type="dxa"/>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规格</w:t>
            </w:r>
          </w:p>
        </w:tc>
        <w:tc>
          <w:tcPr>
            <w:tcW w:w="1378"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单价上限值（元）</w:t>
            </w:r>
          </w:p>
        </w:tc>
        <w:tc>
          <w:tcPr>
            <w:tcW w:w="121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2P漏电附件</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16A 20A 25A 32A 40A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84.71</w:t>
            </w:r>
          </w:p>
        </w:tc>
        <w:tc>
          <w:tcPr>
            <w:tcW w:w="1217" w:type="dxa"/>
            <w:vMerge w:val="restart"/>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现有在用品牌施耐德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2P漏电附件</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63A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108.35</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3P漏电附件</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40A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137.9</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4P漏电附件</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32A 40A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172.375</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4P漏电附件</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63A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231.475</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1P+N漏电开关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16A 20A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94.56</w:t>
            </w:r>
          </w:p>
        </w:tc>
        <w:tc>
          <w:tcPr>
            <w:tcW w:w="1217" w:type="dxa"/>
            <w:vMerge w:val="restart"/>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现有在用品牌施耐德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1P+N漏电开关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25A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103.425</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1P+N漏电开关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32A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103.425</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1P+N漏电开关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40A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108.35</w:t>
            </w:r>
          </w:p>
        </w:tc>
        <w:tc>
          <w:tcPr>
            <w:tcW w:w="121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现有在用品牌施耐德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16A-20A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28.565</w:t>
            </w:r>
          </w:p>
        </w:tc>
        <w:tc>
          <w:tcPr>
            <w:tcW w:w="1217" w:type="dxa"/>
            <w:vMerge w:val="restart"/>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现有在用品牌施耐德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25A-32A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31.52</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35.46</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63A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81.6565</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40A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71.905</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32A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61.5625</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16A-25A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55.751</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63A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127.7545</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40A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109.0395</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32A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89.1425</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25A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89.1425</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16A-20A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85.104</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40A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137.703</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63A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163.707</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25A-32A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120.17</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16A-20A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117.9045</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CVS 160A空气开关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3*160A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653.055</w:t>
            </w:r>
          </w:p>
        </w:tc>
        <w:tc>
          <w:tcPr>
            <w:tcW w:w="121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现有在用品牌施耐德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C65N2P空气开关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16A 20A 25A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54.175</w:t>
            </w:r>
          </w:p>
        </w:tc>
        <w:tc>
          <w:tcPr>
            <w:tcW w:w="1217" w:type="dxa"/>
            <w:vMerge w:val="restart"/>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现有在用品牌施耐德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C65N2P空气开关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32A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62.055</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C65N2P空气开关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40A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74.86</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C65N4P空气开关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32A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131.005</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指压开关</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公牛或施耐德或TCL</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大板一位</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13.2975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指压开关</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公牛或施耐德或TCL</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大板二位</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19.503</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指压开关</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公牛或施耐德或TCL</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大板三位</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25.61</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指压开关</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公牛或施耐德或TCL</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大板四位</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35.9525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指压开关</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公牛或施耐德或TCL</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大板一位双联</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18.518</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微动开关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正泰或德力西或欧姆龙</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31.52</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行程开关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正泰或德力西或欧姆龙</w:t>
            </w:r>
          </w:p>
        </w:tc>
        <w:tc>
          <w:tcPr>
            <w:tcW w:w="1377" w:type="dxa"/>
            <w:shd w:val="clear" w:color="auto" w:fill="auto"/>
            <w:noWrap/>
            <w:vAlign w:val="center"/>
          </w:tcPr>
          <w:p>
            <w:pPr>
              <w:jc w:val="cente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64.025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氧气瓶开关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正泰或德力西或欧姆龙</w:t>
            </w:r>
          </w:p>
        </w:tc>
        <w:tc>
          <w:tcPr>
            <w:tcW w:w="1377" w:type="dxa"/>
            <w:shd w:val="clear" w:color="auto" w:fill="auto"/>
            <w:noWrap/>
            <w:vAlign w:val="center"/>
          </w:tcPr>
          <w:p>
            <w:pPr>
              <w:jc w:val="cente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78.8</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门铃开关</w:t>
            </w:r>
          </w:p>
        </w:tc>
        <w:tc>
          <w:tcPr>
            <w:tcW w:w="2705" w:type="dxa"/>
            <w:shd w:val="clear" w:color="auto" w:fill="auto"/>
            <w:noWrap/>
            <w:vAlign w:val="center"/>
          </w:tcPr>
          <w:p>
            <w:pPr>
              <w:jc w:val="center"/>
              <w:rPr>
                <w:rFonts w:cs="宋体" w:asciiTheme="minorEastAsia" w:hAnsiTheme="minorEastAsia"/>
                <w:color w:val="000000"/>
                <w:szCs w:val="21"/>
              </w:rPr>
            </w:pPr>
            <w:r>
              <w:rPr>
                <w:rFonts w:cs="宋体" w:asciiTheme="minorEastAsia" w:hAnsiTheme="minorEastAsia"/>
                <w:color w:val="000000"/>
                <w:szCs w:val="21"/>
              </w:rPr>
              <w:t>公牛或</w:t>
            </w:r>
            <w:r>
              <w:rPr>
                <w:rFonts w:hint="eastAsia" w:cs="宋体" w:asciiTheme="minorEastAsia" w:hAnsiTheme="minorEastAsia"/>
                <w:color w:val="000000"/>
                <w:szCs w:val="21"/>
              </w:rPr>
              <w:t>德力西或施耐德</w:t>
            </w:r>
          </w:p>
        </w:tc>
        <w:tc>
          <w:tcPr>
            <w:tcW w:w="1377" w:type="dxa"/>
            <w:shd w:val="clear" w:color="auto" w:fill="auto"/>
            <w:noWrap/>
            <w:vAlign w:val="center"/>
          </w:tcPr>
          <w:p>
            <w:pPr>
              <w:jc w:val="cente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24.625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轻触开关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正泰或德力西或欧姆龙</w:t>
            </w:r>
          </w:p>
        </w:tc>
        <w:tc>
          <w:tcPr>
            <w:tcW w:w="1377" w:type="dxa"/>
            <w:shd w:val="clear" w:color="auto" w:fill="auto"/>
            <w:noWrap/>
            <w:vAlign w:val="center"/>
          </w:tcPr>
          <w:p>
            <w:pPr>
              <w:jc w:val="cente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19.7</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4针节能管</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13.593</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2U 节能管</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7W 8W 9W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24.625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节能管</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25W 45W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33.096</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4U 节能管</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85W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78.8</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LED6寸筒灯</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9W 15W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39.4</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LED筒灯</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24.625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LED投光灯</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50W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108.35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LED投光灯</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220W/220V</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305.35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LED平板灯</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30*30</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57.13</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LED平板灯</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60*60</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96.53</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LED路灯</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85W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231.475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路灯杆</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19.7</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LED球灯泡</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10.835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LED强力探照灯</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充电款</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142.825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LED灯盘灯带</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60W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197</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天花面灯</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外框厚10mm，侧面发光</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152.675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透光灯片</w:t>
            </w:r>
          </w:p>
        </w:tc>
        <w:tc>
          <w:tcPr>
            <w:tcW w:w="2705" w:type="dxa"/>
            <w:shd w:val="clear" w:color="auto" w:fill="auto"/>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德固赛或绿川或瑞昌</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亚克力</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88.65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吸顶灯光源</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26.595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szCs w:val="21"/>
              </w:rPr>
            </w:pPr>
            <w:r>
              <w:rPr>
                <w:rFonts w:hint="eastAsia" w:asciiTheme="minorEastAsia" w:hAnsiTheme="minorEastAsia"/>
                <w:szCs w:val="21"/>
              </w:rPr>
              <w:t>指示灯</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正泰或德力西</w:t>
            </w:r>
            <w:r>
              <w:rPr>
                <w:rFonts w:hint="eastAsia" w:cs="宋体" w:asciiTheme="minorEastAsia" w:hAnsiTheme="minorEastAsia"/>
                <w:color w:val="000000"/>
                <w:szCs w:val="21"/>
              </w:rPr>
              <w:t>或欧姆龙</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24V、220V、380V</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5.91</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szCs w:val="21"/>
              </w:rPr>
            </w:pPr>
            <w:r>
              <w:rPr>
                <w:rFonts w:hint="eastAsia" w:asciiTheme="minorEastAsia" w:hAnsiTheme="minorEastAsia"/>
                <w:szCs w:val="21"/>
              </w:rPr>
              <w:t>警示灯牌</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正泰或德力西</w:t>
            </w:r>
            <w:r>
              <w:rPr>
                <w:rFonts w:hint="eastAsia" w:cs="宋体" w:asciiTheme="minorEastAsia" w:hAnsiTheme="minorEastAsia"/>
                <w:color w:val="000000"/>
                <w:szCs w:val="21"/>
              </w:rPr>
              <w:t>或欧姆龙</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10.835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灯泡</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60W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2.955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灯头</w:t>
            </w:r>
          </w:p>
        </w:tc>
        <w:tc>
          <w:tcPr>
            <w:tcW w:w="2705" w:type="dxa"/>
            <w:shd w:val="clear" w:color="auto" w:fill="auto"/>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创亿或拉伯塔或公牛</w:t>
            </w:r>
          </w:p>
        </w:tc>
        <w:tc>
          <w:tcPr>
            <w:tcW w:w="1377" w:type="dxa"/>
            <w:shd w:val="clear" w:color="auto" w:fill="auto"/>
            <w:noWrap/>
            <w:vAlign w:val="center"/>
          </w:tcPr>
          <w:p>
            <w:pPr>
              <w:jc w:val="center"/>
              <w:rPr>
                <w:rFonts w:cs="宋体" w:asciiTheme="minorEastAsia" w:hAnsiTheme="minorEastAsia"/>
                <w:color w:val="000000"/>
                <w:szCs w:val="21"/>
              </w:rPr>
            </w:pPr>
            <w:r>
              <w:rPr>
                <w:rFonts w:asciiTheme="minorEastAsia" w:hAnsiTheme="minorEastAsia"/>
                <w:color w:val="000000"/>
                <w:szCs w:val="21"/>
              </w:rPr>
              <w:t>E27</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1.97</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灯珠</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24V  100W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3.743</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灯座</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创亿或拉伯塔或公牛</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3.94</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T8 光管</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18W 36W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8.865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T8 LED 光管</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8W 16W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12.805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T5 光管</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14W-28W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12.805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T5 支架</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24W-28W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22.655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光管</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15W 18W 20W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5.91</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光管支架脚</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松日</w:t>
            </w:r>
            <w:r>
              <w:rPr>
                <w:rFonts w:hint="eastAsia" w:cs="宋体" w:asciiTheme="minorEastAsia" w:hAnsiTheme="minorEastAsia"/>
                <w:color w:val="000000"/>
                <w:szCs w:val="21"/>
              </w:rPr>
              <w:t>或</w:t>
            </w:r>
            <w:r>
              <w:rPr>
                <w:rFonts w:hint="eastAsia" w:asciiTheme="minorEastAsia" w:hAnsiTheme="minorEastAsia"/>
                <w:color w:val="000000"/>
                <w:szCs w:val="21"/>
              </w:rPr>
              <w:t>佛山照明</w:t>
            </w:r>
            <w:r>
              <w:rPr>
                <w:rFonts w:hint="eastAsia" w:cs="宋体" w:asciiTheme="minorEastAsia" w:hAnsiTheme="minorEastAsia"/>
                <w:color w:val="000000"/>
                <w:szCs w:val="21"/>
              </w:rPr>
              <w:t>或</w:t>
            </w:r>
            <w:r>
              <w:rPr>
                <w:rFonts w:hint="eastAsia" w:asciiTheme="minorEastAsia" w:hAnsiTheme="minorEastAsia"/>
                <w:color w:val="000000"/>
                <w:szCs w:val="21"/>
              </w:rPr>
              <w:t>欧普照明</w:t>
            </w:r>
          </w:p>
        </w:tc>
        <w:tc>
          <w:tcPr>
            <w:tcW w:w="1377" w:type="dxa"/>
            <w:shd w:val="clear" w:color="auto" w:fill="auto"/>
            <w:noWrap/>
            <w:vAlign w:val="center"/>
          </w:tcPr>
          <w:p>
            <w:pPr>
              <w:jc w:val="center"/>
              <w:rPr>
                <w:rFonts w:cs="宋体" w:asciiTheme="minorEastAsia" w:hAnsiTheme="minorEastAsia"/>
                <w:color w:val="000000"/>
                <w:szCs w:val="21"/>
              </w:rPr>
            </w:pPr>
            <w:r>
              <w:rPr>
                <w:rFonts w:asciiTheme="minorEastAsia" w:hAnsiTheme="minorEastAsia"/>
                <w:color w:val="000000"/>
                <w:szCs w:val="21"/>
              </w:rPr>
              <w:t>T</w:t>
            </w:r>
            <w:r>
              <w:rPr>
                <w:rFonts w:hint="eastAsia" w:asciiTheme="minorEastAsia" w:hAnsiTheme="minorEastAsia"/>
                <w:color w:val="000000"/>
                <w:szCs w:val="21"/>
              </w:rPr>
              <w:t>8</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3.94</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T4 镇流器</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14W-28W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24.625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T5电子镇流器</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1*14W/1*28W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28.565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T8电子镇流器</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1*30W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31.52</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电感镇流器</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30W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28.565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继电器</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正泰或德力西或施耐德</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12V 24V</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54.175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起辉器</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2.955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起辉器底座</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2.955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熔断器</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17.73</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熔断器底座</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17.73</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开孔器</w:t>
            </w:r>
          </w:p>
        </w:tc>
        <w:tc>
          <w:tcPr>
            <w:tcW w:w="2705" w:type="dxa"/>
            <w:shd w:val="clear" w:color="auto" w:fill="auto"/>
            <w:noWrap/>
            <w:vAlign w:val="center"/>
          </w:tcPr>
          <w:p>
            <w:pPr>
              <w:jc w:val="cente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8MM  10MM</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24.625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集成</w:t>
            </w:r>
          </w:p>
        </w:tc>
        <w:tc>
          <w:tcPr>
            <w:tcW w:w="2705" w:type="dxa"/>
            <w:shd w:val="clear" w:color="auto" w:fill="auto"/>
            <w:noWrap/>
            <w:vAlign w:val="center"/>
          </w:tcPr>
          <w:p>
            <w:pPr>
              <w:jc w:val="cente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21.67</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保险管</w:t>
            </w:r>
          </w:p>
        </w:tc>
        <w:tc>
          <w:tcPr>
            <w:tcW w:w="2705" w:type="dxa"/>
            <w:shd w:val="clear" w:color="auto" w:fill="auto"/>
            <w:noWrap/>
            <w:vAlign w:val="center"/>
          </w:tcPr>
          <w:p>
            <w:pPr>
              <w:jc w:val="cente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5.91</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硅胶管</w:t>
            </w:r>
          </w:p>
        </w:tc>
        <w:tc>
          <w:tcPr>
            <w:tcW w:w="2705" w:type="dxa"/>
            <w:shd w:val="clear" w:color="auto" w:fill="auto"/>
            <w:noWrap/>
            <w:vAlign w:val="center"/>
          </w:tcPr>
          <w:p>
            <w:pPr>
              <w:jc w:val="cente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2.955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黄立管</w:t>
            </w:r>
          </w:p>
        </w:tc>
        <w:tc>
          <w:tcPr>
            <w:tcW w:w="2705" w:type="dxa"/>
            <w:shd w:val="clear" w:color="auto" w:fill="auto"/>
            <w:noWrap/>
            <w:vAlign w:val="center"/>
          </w:tcPr>
          <w:p>
            <w:pPr>
              <w:jc w:val="center"/>
            </w:pPr>
            <w:r>
              <w:rPr>
                <w:rFonts w:hint="eastAsia" w:asciiTheme="minorEastAsia" w:hAnsiTheme="minorEastAsia"/>
                <w:color w:val="000000"/>
                <w:szCs w:val="21"/>
              </w:rPr>
              <w:t>国标通用</w:t>
            </w:r>
          </w:p>
        </w:tc>
        <w:tc>
          <w:tcPr>
            <w:tcW w:w="1377"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10厘-25厘</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2.955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耐高温软管</w:t>
            </w:r>
          </w:p>
        </w:tc>
        <w:tc>
          <w:tcPr>
            <w:tcW w:w="2705" w:type="dxa"/>
            <w:shd w:val="clear" w:color="auto" w:fill="auto"/>
            <w:noWrap/>
            <w:vAlign w:val="center"/>
          </w:tcPr>
          <w:p>
            <w:pPr>
              <w:jc w:val="cente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8.865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气管</w:t>
            </w:r>
          </w:p>
        </w:tc>
        <w:tc>
          <w:tcPr>
            <w:tcW w:w="2705" w:type="dxa"/>
            <w:shd w:val="clear" w:color="auto" w:fill="auto"/>
            <w:noWrap/>
            <w:vAlign w:val="center"/>
          </w:tcPr>
          <w:p>
            <w:pPr>
              <w:jc w:val="cente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4.4325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盘管</w:t>
            </w:r>
          </w:p>
        </w:tc>
        <w:tc>
          <w:tcPr>
            <w:tcW w:w="2705" w:type="dxa"/>
            <w:shd w:val="clear" w:color="auto" w:fill="auto"/>
            <w:noWrap/>
            <w:vAlign w:val="center"/>
          </w:tcPr>
          <w:p>
            <w:pPr>
              <w:jc w:val="cente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6分/25*1.8</w:t>
            </w:r>
          </w:p>
        </w:tc>
        <w:tc>
          <w:tcPr>
            <w:tcW w:w="1378" w:type="dxa"/>
            <w:shd w:val="clear" w:color="auto" w:fill="auto"/>
            <w:noWrap/>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1"/>
                <w:szCs w:val="21"/>
                <w:u w:val="none"/>
                <w:lang w:val="en-US" w:eastAsia="zh-CN" w:bidi="ar"/>
              </w:rPr>
              <w:t>3.94元/米</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气管接头</w:t>
            </w:r>
          </w:p>
        </w:tc>
        <w:tc>
          <w:tcPr>
            <w:tcW w:w="2705" w:type="dxa"/>
            <w:shd w:val="clear" w:color="auto" w:fill="auto"/>
            <w:noWrap/>
            <w:vAlign w:val="center"/>
          </w:tcPr>
          <w:p>
            <w:pPr>
              <w:jc w:val="cente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2.955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气管直通</w:t>
            </w:r>
          </w:p>
        </w:tc>
        <w:tc>
          <w:tcPr>
            <w:tcW w:w="2705" w:type="dxa"/>
            <w:shd w:val="clear" w:color="auto" w:fill="auto"/>
            <w:noWrap/>
            <w:vAlign w:val="center"/>
          </w:tcPr>
          <w:p>
            <w:pPr>
              <w:jc w:val="cente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2.955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热收缩管</w:t>
            </w:r>
          </w:p>
        </w:tc>
        <w:tc>
          <w:tcPr>
            <w:tcW w:w="2705" w:type="dxa"/>
            <w:shd w:val="clear" w:color="auto" w:fill="auto"/>
            <w:noWrap/>
            <w:vAlign w:val="center"/>
          </w:tcPr>
          <w:p>
            <w:pPr>
              <w:jc w:val="cente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4厘 6厘</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2.758</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铜管</w:t>
            </w:r>
          </w:p>
        </w:tc>
        <w:tc>
          <w:tcPr>
            <w:tcW w:w="2705" w:type="dxa"/>
            <w:shd w:val="clear" w:color="auto" w:fill="auto"/>
            <w:noWrap/>
            <w:vAlign w:val="center"/>
          </w:tcPr>
          <w:p>
            <w:pPr>
              <w:jc w:val="cente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39.4</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铜管接头</w:t>
            </w:r>
          </w:p>
        </w:tc>
        <w:tc>
          <w:tcPr>
            <w:tcW w:w="2705" w:type="dxa"/>
            <w:shd w:val="clear" w:color="auto" w:fill="auto"/>
            <w:noWrap/>
            <w:vAlign w:val="center"/>
          </w:tcPr>
          <w:p>
            <w:pPr>
              <w:jc w:val="cente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35mm</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21.67</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铜管接头</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110mm</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59.1</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szCs w:val="21"/>
              </w:rPr>
            </w:pPr>
            <w:r>
              <w:rPr>
                <w:rFonts w:hint="eastAsia" w:asciiTheme="minorEastAsia" w:hAnsiTheme="minorEastAsia"/>
                <w:szCs w:val="21"/>
              </w:rPr>
              <w:t>紫外线灯管</w:t>
            </w:r>
          </w:p>
        </w:tc>
        <w:tc>
          <w:tcPr>
            <w:tcW w:w="2705" w:type="dxa"/>
            <w:shd w:val="clear" w:color="auto" w:fill="auto"/>
            <w:noWrap/>
            <w:vAlign w:val="center"/>
          </w:tcPr>
          <w:p>
            <w:pPr>
              <w:jc w:val="center"/>
              <w:rPr>
                <w:rFonts w:cs="宋体" w:asciiTheme="minorEastAsia" w:hAnsiTheme="minorEastAsia"/>
                <w:szCs w:val="21"/>
              </w:rPr>
            </w:pPr>
            <w:r>
              <w:rPr>
                <w:rFonts w:hint="eastAsia" w:asciiTheme="minorEastAsia" w:hAnsiTheme="minorEastAsia"/>
                <w:szCs w:val="21"/>
              </w:rPr>
              <w:t>雷士</w:t>
            </w:r>
            <w:r>
              <w:rPr>
                <w:rFonts w:hint="eastAsia" w:cs="宋体" w:asciiTheme="minorEastAsia" w:hAnsiTheme="minorEastAsia"/>
                <w:color w:val="000000"/>
                <w:szCs w:val="21"/>
              </w:rPr>
              <w:t>或</w:t>
            </w:r>
            <w:r>
              <w:rPr>
                <w:rFonts w:hint="eastAsia" w:asciiTheme="minorEastAsia" w:hAnsiTheme="minorEastAsia"/>
                <w:szCs w:val="21"/>
              </w:rPr>
              <w:t>飞利浦</w:t>
            </w:r>
            <w:r>
              <w:rPr>
                <w:rFonts w:hint="eastAsia" w:cs="宋体" w:asciiTheme="minorEastAsia" w:hAnsiTheme="minorEastAsia"/>
                <w:color w:val="000000"/>
                <w:szCs w:val="21"/>
              </w:rPr>
              <w:t>或</w:t>
            </w:r>
            <w:r>
              <w:rPr>
                <w:rFonts w:hint="eastAsia" w:asciiTheme="minorEastAsia" w:hAnsiTheme="minorEastAsia"/>
                <w:szCs w:val="21"/>
              </w:rPr>
              <w:t>雪莱特</w:t>
            </w:r>
          </w:p>
        </w:tc>
        <w:tc>
          <w:tcPr>
            <w:tcW w:w="1377" w:type="dxa"/>
            <w:shd w:val="clear" w:color="auto" w:fill="auto"/>
            <w:noWrap/>
            <w:vAlign w:val="center"/>
          </w:tcPr>
          <w:p>
            <w:pPr>
              <w:jc w:val="center"/>
              <w:rPr>
                <w:rFonts w:cs="宋体" w:asciiTheme="minorEastAsia" w:hAnsiTheme="minorEastAsia"/>
                <w:szCs w:val="21"/>
              </w:rPr>
            </w:pPr>
            <w:r>
              <w:rPr>
                <w:rFonts w:hint="eastAsia" w:asciiTheme="minorEastAsia" w:hAnsiTheme="minorEastAsia"/>
                <w:szCs w:val="21"/>
              </w:rPr>
              <w:t>20W 80W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32.505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线管</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顾地或得益或联塑</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4分</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7.88</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线管</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顾地或得益或联塑</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6分</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10.835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ZR地线</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中山铁成或广东电缆或南洋</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1.5平方，100米</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132.975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ZR地线</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中山铁成或广东电缆或南洋</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2.5平方，100米</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206.85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ZR地线</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中山铁成或广东电缆或南洋</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4平方，100米</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301.41</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ZR地线</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中山铁成或广东电缆或南洋</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6平方，100米</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435.37</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szCs w:val="21"/>
              </w:rPr>
            </w:pPr>
            <w:r>
              <w:rPr>
                <w:rFonts w:hint="eastAsia" w:asciiTheme="minorEastAsia" w:hAnsiTheme="minorEastAsia"/>
                <w:szCs w:val="21"/>
              </w:rPr>
              <w:t>ZR电线</w:t>
            </w:r>
          </w:p>
        </w:tc>
        <w:tc>
          <w:tcPr>
            <w:tcW w:w="2705" w:type="dxa"/>
            <w:shd w:val="clear" w:color="auto" w:fill="auto"/>
            <w:vAlign w:val="center"/>
          </w:tcPr>
          <w:p>
            <w:pPr>
              <w:jc w:val="center"/>
              <w:rPr>
                <w:rFonts w:cs="宋体" w:asciiTheme="minorEastAsia" w:hAnsiTheme="minorEastAsia"/>
                <w:szCs w:val="21"/>
              </w:rPr>
            </w:pPr>
            <w:r>
              <w:rPr>
                <w:rFonts w:hint="eastAsia" w:asciiTheme="minorEastAsia" w:hAnsiTheme="minorEastAsia"/>
                <w:szCs w:val="21"/>
              </w:rPr>
              <w:t>中山铁成或广东电缆或南洋</w:t>
            </w:r>
          </w:p>
        </w:tc>
        <w:tc>
          <w:tcPr>
            <w:tcW w:w="1377" w:type="dxa"/>
            <w:shd w:val="clear" w:color="auto" w:fill="auto"/>
            <w:noWrap/>
            <w:vAlign w:val="center"/>
          </w:tcPr>
          <w:p>
            <w:pPr>
              <w:jc w:val="center"/>
              <w:rPr>
                <w:rFonts w:cs="宋体" w:asciiTheme="minorEastAsia" w:hAnsiTheme="minorEastAsia"/>
                <w:szCs w:val="21"/>
              </w:rPr>
            </w:pPr>
            <w:r>
              <w:rPr>
                <w:rFonts w:hint="eastAsia" w:asciiTheme="minorEastAsia" w:hAnsiTheme="minorEastAsia"/>
                <w:szCs w:val="21"/>
              </w:rPr>
              <w:t>1.5平方，100米</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szCs w:val="21"/>
              </w:rPr>
            </w:pPr>
            <w:r>
              <w:rPr>
                <w:rFonts w:hint="eastAsia" w:ascii="宋体" w:hAnsi="宋体" w:eastAsia="宋体" w:cs="宋体"/>
                <w:i w:val="0"/>
                <w:iCs w:val="0"/>
                <w:color w:val="000000"/>
                <w:kern w:val="0"/>
                <w:sz w:val="22"/>
                <w:szCs w:val="22"/>
                <w:u w:val="none"/>
                <w:lang w:val="en-US" w:eastAsia="zh-CN" w:bidi="ar"/>
              </w:rPr>
              <w:t>132.975</w:t>
            </w:r>
          </w:p>
        </w:tc>
        <w:tc>
          <w:tcPr>
            <w:tcW w:w="1217" w:type="dxa"/>
            <w:shd w:val="clear" w:color="auto" w:fill="auto"/>
            <w:noWrap/>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szCs w:val="21"/>
              </w:rPr>
            </w:pPr>
            <w:r>
              <w:rPr>
                <w:rFonts w:hint="eastAsia" w:asciiTheme="minorEastAsia" w:hAnsiTheme="minorEastAsia"/>
                <w:szCs w:val="21"/>
              </w:rPr>
              <w:t>ZR电线</w:t>
            </w:r>
          </w:p>
        </w:tc>
        <w:tc>
          <w:tcPr>
            <w:tcW w:w="2705" w:type="dxa"/>
            <w:shd w:val="clear" w:color="auto" w:fill="auto"/>
            <w:vAlign w:val="center"/>
          </w:tcPr>
          <w:p>
            <w:pPr>
              <w:jc w:val="center"/>
              <w:rPr>
                <w:rFonts w:cs="宋体" w:asciiTheme="minorEastAsia" w:hAnsiTheme="minorEastAsia"/>
                <w:szCs w:val="21"/>
              </w:rPr>
            </w:pPr>
            <w:r>
              <w:rPr>
                <w:rFonts w:hint="eastAsia" w:asciiTheme="minorEastAsia" w:hAnsiTheme="minorEastAsia"/>
                <w:szCs w:val="21"/>
              </w:rPr>
              <w:t>中山铁成或广东电缆或南洋</w:t>
            </w:r>
          </w:p>
        </w:tc>
        <w:tc>
          <w:tcPr>
            <w:tcW w:w="1377" w:type="dxa"/>
            <w:shd w:val="clear" w:color="auto" w:fill="auto"/>
            <w:noWrap/>
            <w:vAlign w:val="center"/>
          </w:tcPr>
          <w:p>
            <w:pPr>
              <w:jc w:val="center"/>
              <w:rPr>
                <w:rFonts w:cs="宋体" w:asciiTheme="minorEastAsia" w:hAnsiTheme="minorEastAsia"/>
                <w:szCs w:val="21"/>
              </w:rPr>
            </w:pPr>
            <w:r>
              <w:rPr>
                <w:rFonts w:hint="eastAsia" w:asciiTheme="minorEastAsia" w:hAnsiTheme="minorEastAsia"/>
                <w:szCs w:val="21"/>
              </w:rPr>
              <w:t>2.5平方，100米</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szCs w:val="21"/>
              </w:rPr>
            </w:pPr>
            <w:r>
              <w:rPr>
                <w:rFonts w:hint="eastAsia" w:ascii="宋体" w:hAnsi="宋体" w:eastAsia="宋体" w:cs="宋体"/>
                <w:i w:val="0"/>
                <w:iCs w:val="0"/>
                <w:color w:val="000000"/>
                <w:kern w:val="0"/>
                <w:sz w:val="22"/>
                <w:szCs w:val="22"/>
                <w:u w:val="none"/>
                <w:lang w:val="en-US" w:eastAsia="zh-CN" w:bidi="ar"/>
              </w:rPr>
              <w:t>206.85</w:t>
            </w:r>
          </w:p>
        </w:tc>
        <w:tc>
          <w:tcPr>
            <w:tcW w:w="1217" w:type="dxa"/>
            <w:shd w:val="clear" w:color="auto" w:fill="auto"/>
            <w:noWrap/>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szCs w:val="21"/>
              </w:rPr>
            </w:pPr>
            <w:r>
              <w:rPr>
                <w:rFonts w:hint="eastAsia" w:asciiTheme="minorEastAsia" w:hAnsiTheme="minorEastAsia"/>
                <w:szCs w:val="21"/>
              </w:rPr>
              <w:t>ZR电线</w:t>
            </w:r>
          </w:p>
        </w:tc>
        <w:tc>
          <w:tcPr>
            <w:tcW w:w="2705" w:type="dxa"/>
            <w:shd w:val="clear" w:color="auto" w:fill="auto"/>
            <w:vAlign w:val="center"/>
          </w:tcPr>
          <w:p>
            <w:pPr>
              <w:jc w:val="center"/>
              <w:rPr>
                <w:rFonts w:cs="宋体" w:asciiTheme="minorEastAsia" w:hAnsiTheme="minorEastAsia"/>
                <w:szCs w:val="21"/>
              </w:rPr>
            </w:pPr>
            <w:r>
              <w:rPr>
                <w:rFonts w:hint="eastAsia" w:asciiTheme="minorEastAsia" w:hAnsiTheme="minorEastAsia"/>
                <w:szCs w:val="21"/>
              </w:rPr>
              <w:t>中山铁成或广东电缆或南洋</w:t>
            </w:r>
          </w:p>
        </w:tc>
        <w:tc>
          <w:tcPr>
            <w:tcW w:w="1377" w:type="dxa"/>
            <w:shd w:val="clear" w:color="auto" w:fill="auto"/>
            <w:noWrap/>
            <w:vAlign w:val="center"/>
          </w:tcPr>
          <w:p>
            <w:pPr>
              <w:jc w:val="center"/>
              <w:rPr>
                <w:rFonts w:cs="宋体" w:asciiTheme="minorEastAsia" w:hAnsiTheme="minorEastAsia"/>
                <w:szCs w:val="21"/>
              </w:rPr>
            </w:pPr>
            <w:r>
              <w:rPr>
                <w:rFonts w:hint="eastAsia" w:asciiTheme="minorEastAsia" w:hAnsiTheme="minorEastAsia"/>
                <w:szCs w:val="21"/>
              </w:rPr>
              <w:t>4平方，100米</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szCs w:val="21"/>
              </w:rPr>
            </w:pPr>
            <w:r>
              <w:rPr>
                <w:rFonts w:hint="eastAsia" w:ascii="宋体" w:hAnsi="宋体" w:eastAsia="宋体" w:cs="宋体"/>
                <w:i w:val="0"/>
                <w:iCs w:val="0"/>
                <w:color w:val="000000"/>
                <w:kern w:val="0"/>
                <w:sz w:val="22"/>
                <w:szCs w:val="22"/>
                <w:u w:val="none"/>
                <w:lang w:val="en-US" w:eastAsia="zh-CN" w:bidi="ar"/>
              </w:rPr>
              <w:t>301.41</w:t>
            </w:r>
          </w:p>
        </w:tc>
        <w:tc>
          <w:tcPr>
            <w:tcW w:w="1217" w:type="dxa"/>
            <w:shd w:val="clear" w:color="auto" w:fill="auto"/>
            <w:noWrap/>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szCs w:val="21"/>
              </w:rPr>
            </w:pPr>
            <w:r>
              <w:rPr>
                <w:rFonts w:hint="eastAsia" w:asciiTheme="minorEastAsia" w:hAnsiTheme="minorEastAsia"/>
                <w:szCs w:val="21"/>
              </w:rPr>
              <w:t>ZR电线</w:t>
            </w:r>
          </w:p>
        </w:tc>
        <w:tc>
          <w:tcPr>
            <w:tcW w:w="2705" w:type="dxa"/>
            <w:shd w:val="clear" w:color="auto" w:fill="auto"/>
            <w:vAlign w:val="center"/>
          </w:tcPr>
          <w:p>
            <w:pPr>
              <w:jc w:val="center"/>
              <w:rPr>
                <w:rFonts w:cs="宋体" w:asciiTheme="minorEastAsia" w:hAnsiTheme="minorEastAsia"/>
                <w:szCs w:val="21"/>
              </w:rPr>
            </w:pPr>
            <w:r>
              <w:rPr>
                <w:rFonts w:hint="eastAsia" w:asciiTheme="minorEastAsia" w:hAnsiTheme="minorEastAsia"/>
                <w:szCs w:val="21"/>
              </w:rPr>
              <w:t>中山铁成或广东电缆或南洋</w:t>
            </w:r>
          </w:p>
        </w:tc>
        <w:tc>
          <w:tcPr>
            <w:tcW w:w="1377" w:type="dxa"/>
            <w:shd w:val="clear" w:color="auto" w:fill="auto"/>
            <w:noWrap/>
            <w:vAlign w:val="center"/>
          </w:tcPr>
          <w:p>
            <w:pPr>
              <w:jc w:val="center"/>
              <w:rPr>
                <w:rFonts w:cs="宋体" w:asciiTheme="minorEastAsia" w:hAnsiTheme="minorEastAsia"/>
                <w:szCs w:val="21"/>
              </w:rPr>
            </w:pPr>
            <w:r>
              <w:rPr>
                <w:rFonts w:hint="eastAsia" w:asciiTheme="minorEastAsia" w:hAnsiTheme="minorEastAsia"/>
                <w:szCs w:val="21"/>
              </w:rPr>
              <w:t>6平方，100米</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szCs w:val="21"/>
              </w:rPr>
            </w:pPr>
            <w:r>
              <w:rPr>
                <w:rFonts w:hint="eastAsia" w:ascii="宋体" w:hAnsi="宋体" w:eastAsia="宋体" w:cs="宋体"/>
                <w:i w:val="0"/>
                <w:iCs w:val="0"/>
                <w:color w:val="000000"/>
                <w:kern w:val="0"/>
                <w:sz w:val="22"/>
                <w:szCs w:val="22"/>
                <w:u w:val="none"/>
                <w:lang w:val="en-US" w:eastAsia="zh-CN" w:bidi="ar"/>
              </w:rPr>
              <w:t>435.37</w:t>
            </w:r>
          </w:p>
        </w:tc>
        <w:tc>
          <w:tcPr>
            <w:tcW w:w="1217" w:type="dxa"/>
            <w:shd w:val="clear" w:color="auto" w:fill="auto"/>
            <w:noWrap/>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双色地线</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中山铁成或广东电缆或南洋</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1.5平方</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132.975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双色地线</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中山铁成或广东电缆或南洋</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2.5平方</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206.85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双色地线</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中山铁成或广东电缆或南洋</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4平方</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301.41</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阻燃单支电线</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中山铁成或广东电缆或南洋</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1.5平方</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132.975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阻燃单支电线</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中山铁成或广东电缆或南洋</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2.5平方</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206.85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阻燃单支电线</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中山铁成或广东电缆或南洋</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4平方</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433.4</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阻燃单支电线</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中山铁成或广东电缆或南洋</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6平方</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610.7</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10A 插头线</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国标3C安全认证</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3*1平方</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35.46</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表检测线</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胜利</w:t>
            </w:r>
            <w:r>
              <w:rPr>
                <w:rFonts w:hint="eastAsia" w:cs="宋体" w:asciiTheme="minorEastAsia" w:hAnsiTheme="minorEastAsia"/>
                <w:color w:val="000000"/>
                <w:szCs w:val="21"/>
              </w:rPr>
              <w:t>或</w:t>
            </w:r>
            <w:r>
              <w:rPr>
                <w:rFonts w:hint="eastAsia" w:asciiTheme="minorEastAsia" w:hAnsiTheme="minorEastAsia"/>
                <w:color w:val="000000"/>
                <w:szCs w:val="21"/>
              </w:rPr>
              <w:t>正泰</w:t>
            </w:r>
            <w:r>
              <w:rPr>
                <w:rFonts w:hint="eastAsia" w:cs="宋体" w:asciiTheme="minorEastAsia" w:hAnsiTheme="minorEastAsia"/>
                <w:color w:val="000000"/>
                <w:szCs w:val="21"/>
              </w:rPr>
              <w:t>或</w:t>
            </w:r>
            <w:r>
              <w:rPr>
                <w:rFonts w:hint="eastAsia" w:asciiTheme="minorEastAsia" w:hAnsiTheme="minorEastAsia"/>
                <w:color w:val="000000"/>
                <w:szCs w:val="21"/>
              </w:rPr>
              <w:t>德力西</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34.475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电源线</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国标3C安全认证</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两插  三插</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29.55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耐高温线</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国标AGR耐高温线</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4平方</w:t>
            </w:r>
          </w:p>
        </w:tc>
        <w:tc>
          <w:tcPr>
            <w:tcW w:w="1378" w:type="dxa"/>
            <w:shd w:val="clear" w:color="auto" w:fill="auto"/>
            <w:noWrap/>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1"/>
                <w:szCs w:val="21"/>
                <w:u w:val="none"/>
                <w:lang w:val="en-US" w:eastAsia="zh-CN" w:bidi="ar"/>
              </w:rPr>
              <w:t>3.94元/米</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连接线</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国标AGR耐高温线</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1"/>
                <w:szCs w:val="21"/>
                <w:u w:val="none"/>
                <w:lang w:val="en-US" w:eastAsia="zh-CN" w:bidi="ar"/>
              </w:rPr>
              <w:t>3.4475元/条</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单支电线</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szCs w:val="21"/>
              </w:rPr>
              <w:t>中山铁成或广东电缆或南洋</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1"/>
                <w:szCs w:val="21"/>
                <w:u w:val="none"/>
                <w:lang w:val="en-US" w:eastAsia="zh-CN" w:bidi="ar"/>
              </w:rPr>
              <w:t>3.6445元/米</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护套电线</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德力西</w:t>
            </w:r>
            <w:r>
              <w:rPr>
                <w:rFonts w:hint="eastAsia" w:cs="宋体" w:asciiTheme="minorEastAsia" w:hAnsiTheme="minorEastAsia"/>
                <w:color w:val="000000"/>
                <w:szCs w:val="21"/>
              </w:rPr>
              <w:t>或</w:t>
            </w:r>
            <w:r>
              <w:rPr>
                <w:rFonts w:hint="eastAsia" w:asciiTheme="minorEastAsia" w:hAnsiTheme="minorEastAsia"/>
                <w:color w:val="000000"/>
                <w:szCs w:val="21"/>
              </w:rPr>
              <w:t>珠江电缆</w:t>
            </w:r>
            <w:r>
              <w:rPr>
                <w:rFonts w:hint="eastAsia" w:cs="宋体" w:asciiTheme="minorEastAsia" w:hAnsiTheme="minorEastAsia"/>
                <w:color w:val="000000"/>
                <w:szCs w:val="21"/>
              </w:rPr>
              <w:t>或</w:t>
            </w:r>
            <w:r>
              <w:rPr>
                <w:rFonts w:hint="eastAsia" w:asciiTheme="minorEastAsia" w:hAnsiTheme="minorEastAsia"/>
                <w:color w:val="000000"/>
                <w:szCs w:val="21"/>
              </w:rPr>
              <w:t>公牛</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3*1平方（100米）</w:t>
            </w:r>
          </w:p>
        </w:tc>
        <w:tc>
          <w:tcPr>
            <w:tcW w:w="1378" w:type="dxa"/>
            <w:shd w:val="clear" w:color="auto" w:fill="auto"/>
            <w:noWrap/>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1"/>
                <w:szCs w:val="21"/>
                <w:u w:val="none"/>
                <w:lang w:val="en-US" w:eastAsia="zh-CN" w:bidi="ar"/>
              </w:rPr>
              <w:t>2.4625元/米</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线槽</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顾地或得益或联塑</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24mm</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12.805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线槽</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顾地或得益或联塑</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39mm</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18.715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四位拖线插座</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公牛或施耐德或得力西</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3米线长</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67.965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四位拖线插座</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公牛或施耐德或得力西</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5米线长</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75.845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六位拖线插座</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公牛或施耐德或得力西</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3米线长</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90.62</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二三插座</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公牛或施耐德或TCL</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大板</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16.745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带开关二三插座</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公牛或施耐德或TCL</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大板</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19.7</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单底盒</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创亿或公牛或国际电工</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1.97</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双底盒</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创亿或公牛或国际电工</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2.955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三位底盒</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创亿或公牛或国际电工</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3.94</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单防水盒</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创亿</w:t>
            </w:r>
            <w:r>
              <w:rPr>
                <w:rFonts w:hint="eastAsia" w:cs="宋体" w:asciiTheme="minorEastAsia" w:hAnsiTheme="minorEastAsia"/>
                <w:color w:val="000000"/>
                <w:szCs w:val="21"/>
              </w:rPr>
              <w:t>或</w:t>
            </w:r>
            <w:r>
              <w:rPr>
                <w:rFonts w:hint="eastAsia" w:asciiTheme="minorEastAsia" w:hAnsiTheme="minorEastAsia"/>
                <w:color w:val="000000"/>
                <w:szCs w:val="21"/>
              </w:rPr>
              <w:t>正泰</w:t>
            </w:r>
            <w:r>
              <w:rPr>
                <w:rFonts w:hint="eastAsia" w:cs="宋体" w:asciiTheme="minorEastAsia" w:hAnsiTheme="minorEastAsia"/>
                <w:color w:val="000000"/>
                <w:szCs w:val="21"/>
              </w:rPr>
              <w:t>或</w:t>
            </w:r>
            <w:r>
              <w:rPr>
                <w:rFonts w:hint="eastAsia" w:asciiTheme="minorEastAsia" w:hAnsiTheme="minorEastAsia"/>
                <w:color w:val="000000"/>
                <w:szCs w:val="21"/>
              </w:rPr>
              <w:t>公牛</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11.82</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双防水盒</w:t>
            </w:r>
          </w:p>
        </w:tc>
        <w:tc>
          <w:tcPr>
            <w:tcW w:w="2705" w:type="dxa"/>
            <w:shd w:val="clear" w:color="auto" w:fill="auto"/>
            <w:noWrap/>
            <w:vAlign w:val="center"/>
          </w:tcPr>
          <w:p>
            <w:pPr>
              <w:jc w:val="center"/>
            </w:pPr>
            <w:r>
              <w:rPr>
                <w:rFonts w:hint="eastAsia" w:asciiTheme="minorEastAsia" w:hAnsiTheme="minorEastAsia"/>
                <w:color w:val="000000"/>
                <w:szCs w:val="21"/>
              </w:rPr>
              <w:t>创亿</w:t>
            </w:r>
            <w:r>
              <w:rPr>
                <w:rFonts w:hint="eastAsia" w:cs="宋体" w:asciiTheme="minorEastAsia" w:hAnsiTheme="minorEastAsia"/>
                <w:color w:val="000000"/>
                <w:szCs w:val="21"/>
              </w:rPr>
              <w:t>或</w:t>
            </w:r>
            <w:r>
              <w:rPr>
                <w:rFonts w:hint="eastAsia" w:asciiTheme="minorEastAsia" w:hAnsiTheme="minorEastAsia"/>
                <w:color w:val="000000"/>
                <w:szCs w:val="21"/>
              </w:rPr>
              <w:t>正泰</w:t>
            </w:r>
            <w:r>
              <w:rPr>
                <w:rFonts w:hint="eastAsia" w:cs="宋体" w:asciiTheme="minorEastAsia" w:hAnsiTheme="minorEastAsia"/>
                <w:color w:val="000000"/>
                <w:szCs w:val="21"/>
              </w:rPr>
              <w:t>或</w:t>
            </w:r>
            <w:r>
              <w:rPr>
                <w:rFonts w:hint="eastAsia" w:asciiTheme="minorEastAsia" w:hAnsiTheme="minorEastAsia"/>
                <w:color w:val="000000"/>
                <w:szCs w:val="21"/>
              </w:rPr>
              <w:t>公牛</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19.7</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防水接线盒</w:t>
            </w:r>
          </w:p>
        </w:tc>
        <w:tc>
          <w:tcPr>
            <w:tcW w:w="2705" w:type="dxa"/>
            <w:shd w:val="clear" w:color="auto" w:fill="auto"/>
            <w:noWrap/>
            <w:vAlign w:val="center"/>
          </w:tcPr>
          <w:p>
            <w:pPr>
              <w:jc w:val="center"/>
            </w:pPr>
            <w:r>
              <w:rPr>
                <w:rFonts w:hint="eastAsia" w:asciiTheme="minorEastAsia" w:hAnsiTheme="minorEastAsia"/>
                <w:color w:val="000000"/>
                <w:szCs w:val="21"/>
              </w:rPr>
              <w:t>创亿</w:t>
            </w:r>
            <w:r>
              <w:rPr>
                <w:rFonts w:hint="eastAsia" w:cs="宋体" w:asciiTheme="minorEastAsia" w:hAnsiTheme="minorEastAsia"/>
                <w:color w:val="000000"/>
                <w:szCs w:val="21"/>
              </w:rPr>
              <w:t>或</w:t>
            </w:r>
            <w:r>
              <w:rPr>
                <w:rFonts w:hint="eastAsia" w:asciiTheme="minorEastAsia" w:hAnsiTheme="minorEastAsia"/>
                <w:color w:val="000000"/>
                <w:szCs w:val="21"/>
              </w:rPr>
              <w:t>正泰</w:t>
            </w:r>
            <w:r>
              <w:rPr>
                <w:rFonts w:hint="eastAsia" w:cs="宋体" w:asciiTheme="minorEastAsia" w:hAnsiTheme="minorEastAsia"/>
                <w:color w:val="000000"/>
                <w:szCs w:val="21"/>
              </w:rPr>
              <w:t>或</w:t>
            </w:r>
            <w:r>
              <w:rPr>
                <w:rFonts w:hint="eastAsia" w:asciiTheme="minorEastAsia" w:hAnsiTheme="minorEastAsia"/>
                <w:color w:val="000000"/>
                <w:szCs w:val="21"/>
              </w:rPr>
              <w:t>公牛</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19.7</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底盒修复器</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1.4775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电池盒</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通用防水</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SM插头</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25.61</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定时控制器</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正泰或上海卓一或德力西</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86型</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78.8</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时控开关</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正泰或上海卓一或得力西</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86型</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78.8</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szCs w:val="21"/>
              </w:rPr>
            </w:pPr>
            <w:r>
              <w:rPr>
                <w:rFonts w:hint="eastAsia" w:asciiTheme="minorEastAsia" w:hAnsiTheme="minorEastAsia"/>
                <w:szCs w:val="21"/>
              </w:rPr>
              <w:t>时间继电器</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正泰或上海卓一或得力西</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88.65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排气扇</w:t>
            </w:r>
          </w:p>
        </w:tc>
        <w:tc>
          <w:tcPr>
            <w:tcW w:w="2705" w:type="dxa"/>
            <w:shd w:val="clear" w:color="auto" w:fill="auto"/>
            <w:noWrap/>
            <w:vAlign w:val="center"/>
          </w:tcPr>
          <w:p>
            <w:pPr>
              <w:jc w:val="center"/>
            </w:pPr>
            <w:r>
              <w:rPr>
                <w:rFonts w:hint="eastAsia" w:asciiTheme="minorEastAsia" w:hAnsiTheme="minorEastAsia"/>
                <w:color w:val="000000"/>
                <w:szCs w:val="21"/>
              </w:rPr>
              <w:t>金铃或永华或美的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12寸</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130.02</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排气扇</w:t>
            </w:r>
          </w:p>
        </w:tc>
        <w:tc>
          <w:tcPr>
            <w:tcW w:w="2705" w:type="dxa"/>
            <w:shd w:val="clear" w:color="auto" w:fill="auto"/>
            <w:noWrap/>
            <w:vAlign w:val="center"/>
          </w:tcPr>
          <w:p>
            <w:pPr>
              <w:jc w:val="center"/>
            </w:pPr>
            <w:r>
              <w:rPr>
                <w:rFonts w:hint="eastAsia" w:asciiTheme="minorEastAsia" w:hAnsiTheme="minorEastAsia"/>
                <w:color w:val="000000"/>
                <w:szCs w:val="21"/>
              </w:rPr>
              <w:t>金铃或永华或美的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10寸</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108.35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管道排气扇</w:t>
            </w:r>
          </w:p>
        </w:tc>
        <w:tc>
          <w:tcPr>
            <w:tcW w:w="2705" w:type="dxa"/>
            <w:shd w:val="clear" w:color="auto" w:fill="auto"/>
            <w:noWrap/>
            <w:vAlign w:val="center"/>
          </w:tcPr>
          <w:p>
            <w:pPr>
              <w:jc w:val="center"/>
            </w:pPr>
            <w:r>
              <w:rPr>
                <w:rFonts w:hint="eastAsia" w:asciiTheme="minorEastAsia" w:hAnsiTheme="minorEastAsia"/>
                <w:color w:val="000000"/>
                <w:szCs w:val="21"/>
              </w:rPr>
              <w:t>金铃或永华或美的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96.53</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壁扇</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美的或格力或金铃</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163.51</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网风扇</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金铃或永华或美的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20*20/电柜散热扇</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54.175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楼底风扇电机</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金铃或永华或美的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标准规格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180.255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电箱</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展业或基业或公牛</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2-4位</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17.73</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电箱</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展业或基业或公牛</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4-6位</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27.58</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电箱</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展业或基业或公牛</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7-9位</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34.475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电箱</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展业或基业或公牛</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10-13位</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38.415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电箱</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展业或基业或公牛</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14-16位</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40.385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电工胶带</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3M或德力西或公牛</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3M</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3.4475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耐高温电工胶布</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3M或德力西或公牛</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4.925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电容</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国标阻燃</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2uf-3.5uf</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14.775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圆形电容</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国标阻燃</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2uf-3.5uf</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19.7</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定位胶轮</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30.535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不锈钢焊条</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金桥、大桥、申嘉</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2.5</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121.155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不锈钢喉箍</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304不锈钢</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2.5寸</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14.775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不锈钢扎箍</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304不锈钢</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3寸 4寸</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11.82</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不锈钢钻嘴</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国标通用</w:t>
            </w:r>
          </w:p>
        </w:tc>
        <w:tc>
          <w:tcPr>
            <w:tcW w:w="1377"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 5# 6# 8# 10# 12# 14# 16#</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12.805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不锈钢接头</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11.82</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不锈钢轴</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highlight w:val="yellow"/>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18.715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电缆</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广东或铁城或珠江</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3*1.5平方</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642.22</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电缆</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广东或铁城或珠江</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3*2.5平方</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872.71</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电缆</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广东或铁城或珠江</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3*4平方</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1398.7</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电缆</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广东或铁城或珠江</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2*2.5平方</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567.36</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电缆盘</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公牛或德力西或安德利</w:t>
            </w:r>
          </w:p>
        </w:tc>
        <w:tc>
          <w:tcPr>
            <w:tcW w:w="1377"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3*2.5平方/33米线（16A漏电保护）</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571.3</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电缆盘</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公牛或德力西或安德利</w:t>
            </w:r>
          </w:p>
        </w:tc>
        <w:tc>
          <w:tcPr>
            <w:tcW w:w="1377"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3*2.5平方/30米线（16A漏电保护）</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541.75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电缆盘</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公牛或德力西或安德利</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3*2.5平方/45米线</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640.25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电缆盘</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公牛或德力西或安德利</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3*2.5平方/40米线</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689.5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电缆盘</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公牛或德力西或安德利</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3*2.5平方/50米线</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788</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潜水泵</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钱涛或杭莱达或上海人民</w:t>
            </w:r>
          </w:p>
        </w:tc>
        <w:tc>
          <w:tcPr>
            <w:tcW w:w="1377" w:type="dxa"/>
            <w:shd w:val="clear" w:color="auto" w:fill="auto"/>
            <w:noWrap/>
            <w:vAlign w:val="center"/>
          </w:tcPr>
          <w:p>
            <w:pPr>
              <w:jc w:val="center"/>
            </w:pPr>
            <w:r>
              <w:rPr>
                <w:rFonts w:hint="eastAsia" w:asciiTheme="minorEastAsia" w:hAnsiTheme="minorEastAsia"/>
                <w:color w:val="000000"/>
                <w:szCs w:val="21"/>
              </w:rPr>
              <w:t>1.1KW/220v/380V</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669.8</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冷热水管道增压泵</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钱涛或杭莱达或上海人民</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370W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906.2</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管道泵</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钱涛或杭莱达或上海人民</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550W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2265.5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专用排气扇</w:t>
            </w:r>
          </w:p>
        </w:tc>
        <w:tc>
          <w:tcPr>
            <w:tcW w:w="2705" w:type="dxa"/>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BE-1213C</w:t>
            </w:r>
          </w:p>
        </w:tc>
        <w:tc>
          <w:tcPr>
            <w:tcW w:w="1378" w:type="dxa"/>
            <w:shd w:val="clear" w:color="auto" w:fill="auto"/>
            <w:noWrap/>
            <w:vAlign w:val="center"/>
          </w:tcPr>
          <w:p>
            <w:pPr>
              <w:keepNext w:val="0"/>
              <w:keepLines w:val="0"/>
              <w:widowControl/>
              <w:suppressLineNumbers w:val="0"/>
              <w:jc w:val="right"/>
              <w:textAlignment w:val="center"/>
              <w:rPr>
                <w:rFonts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162.525</w:t>
            </w:r>
          </w:p>
        </w:tc>
        <w:tc>
          <w:tcPr>
            <w:tcW w:w="1217" w:type="dxa"/>
            <w:vMerge w:val="restart"/>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现有在用品牌</w:t>
            </w:r>
            <w:r>
              <w:rPr>
                <w:rFonts w:asciiTheme="minorEastAsia" w:hAnsiTheme="minorEastAsia"/>
                <w:color w:val="000000"/>
                <w:szCs w:val="21"/>
              </w:rPr>
              <w:t>B</w:t>
            </w:r>
            <w:r>
              <w:rPr>
                <w:rFonts w:hint="eastAsia" w:asciiTheme="minorEastAsia" w:hAnsiTheme="minorEastAsia"/>
                <w:color w:val="000000"/>
                <w:szCs w:val="21"/>
              </w:rPr>
              <w:t>NN贝莱尔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专用排气扇</w:t>
            </w:r>
          </w:p>
        </w:tc>
        <w:tc>
          <w:tcPr>
            <w:tcW w:w="2705" w:type="dxa"/>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BC-1618</w:t>
            </w:r>
          </w:p>
        </w:tc>
        <w:tc>
          <w:tcPr>
            <w:tcW w:w="1378" w:type="dxa"/>
            <w:shd w:val="clear" w:color="auto" w:fill="auto"/>
            <w:noWrap/>
            <w:vAlign w:val="center"/>
          </w:tcPr>
          <w:p>
            <w:pPr>
              <w:keepNext w:val="0"/>
              <w:keepLines w:val="0"/>
              <w:widowControl/>
              <w:suppressLineNumbers w:val="0"/>
              <w:jc w:val="right"/>
              <w:textAlignment w:val="center"/>
              <w:rPr>
                <w:rFonts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293.53</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LED超薄平板灯</w:t>
            </w:r>
          </w:p>
        </w:tc>
        <w:tc>
          <w:tcPr>
            <w:tcW w:w="2705" w:type="dxa"/>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60cmX60cm 60W</w:t>
            </w:r>
          </w:p>
        </w:tc>
        <w:tc>
          <w:tcPr>
            <w:tcW w:w="1378" w:type="dxa"/>
            <w:shd w:val="clear" w:color="auto" w:fill="auto"/>
            <w:noWrap/>
            <w:vAlign w:val="center"/>
          </w:tcPr>
          <w:p>
            <w:pPr>
              <w:keepNext w:val="0"/>
              <w:keepLines w:val="0"/>
              <w:widowControl/>
              <w:suppressLineNumbers w:val="0"/>
              <w:jc w:val="right"/>
              <w:textAlignment w:val="center"/>
              <w:rPr>
                <w:rFonts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137.9</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开关接插件</w:t>
            </w:r>
          </w:p>
        </w:tc>
        <w:tc>
          <w:tcPr>
            <w:tcW w:w="2705" w:type="dxa"/>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正泰或中意或德力西</w:t>
            </w:r>
          </w:p>
        </w:tc>
        <w:tc>
          <w:tcPr>
            <w:tcW w:w="137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JCZ1-160A</w:t>
            </w:r>
          </w:p>
        </w:tc>
        <w:tc>
          <w:tcPr>
            <w:tcW w:w="1378" w:type="dxa"/>
            <w:shd w:val="clear" w:color="auto" w:fill="auto"/>
            <w:noWrap/>
            <w:vAlign w:val="center"/>
          </w:tcPr>
          <w:p>
            <w:pPr>
              <w:keepNext w:val="0"/>
              <w:keepLines w:val="0"/>
              <w:widowControl/>
              <w:suppressLineNumbers w:val="0"/>
              <w:jc w:val="right"/>
              <w:textAlignment w:val="center"/>
              <w:rPr>
                <w:rFonts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684.575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开关接插件</w:t>
            </w:r>
          </w:p>
        </w:tc>
        <w:tc>
          <w:tcPr>
            <w:tcW w:w="2705" w:type="dxa"/>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正泰或中意或德力西</w:t>
            </w:r>
          </w:p>
        </w:tc>
        <w:tc>
          <w:tcPr>
            <w:tcW w:w="137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JCZ2-250A</w:t>
            </w:r>
          </w:p>
        </w:tc>
        <w:tc>
          <w:tcPr>
            <w:tcW w:w="1378" w:type="dxa"/>
            <w:shd w:val="clear" w:color="auto" w:fill="auto"/>
            <w:noWrap/>
            <w:vAlign w:val="center"/>
          </w:tcPr>
          <w:p>
            <w:pPr>
              <w:keepNext w:val="0"/>
              <w:keepLines w:val="0"/>
              <w:widowControl/>
              <w:suppressLineNumbers w:val="0"/>
              <w:jc w:val="right"/>
              <w:textAlignment w:val="center"/>
              <w:rPr>
                <w:rFonts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876.65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开关接插件</w:t>
            </w:r>
          </w:p>
        </w:tc>
        <w:tc>
          <w:tcPr>
            <w:tcW w:w="2705" w:type="dxa"/>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正泰或中意或德力西</w:t>
            </w:r>
          </w:p>
        </w:tc>
        <w:tc>
          <w:tcPr>
            <w:tcW w:w="137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JCZ4-400A</w:t>
            </w:r>
          </w:p>
        </w:tc>
        <w:tc>
          <w:tcPr>
            <w:tcW w:w="1378" w:type="dxa"/>
            <w:shd w:val="clear" w:color="auto" w:fill="auto"/>
            <w:noWrap/>
            <w:vAlign w:val="center"/>
          </w:tcPr>
          <w:p>
            <w:pPr>
              <w:keepNext w:val="0"/>
              <w:keepLines w:val="0"/>
              <w:widowControl/>
              <w:suppressLineNumbers w:val="0"/>
              <w:jc w:val="right"/>
              <w:textAlignment w:val="center"/>
              <w:rPr>
                <w:rFonts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1797.625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开关接插件</w:t>
            </w:r>
          </w:p>
        </w:tc>
        <w:tc>
          <w:tcPr>
            <w:tcW w:w="2705" w:type="dxa"/>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正泰或中意或德力西</w:t>
            </w:r>
          </w:p>
        </w:tc>
        <w:tc>
          <w:tcPr>
            <w:tcW w:w="137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JCZ6-630A</w:t>
            </w:r>
          </w:p>
        </w:tc>
        <w:tc>
          <w:tcPr>
            <w:tcW w:w="1378" w:type="dxa"/>
            <w:shd w:val="clear" w:color="auto" w:fill="auto"/>
            <w:noWrap/>
            <w:vAlign w:val="center"/>
          </w:tcPr>
          <w:p>
            <w:pPr>
              <w:keepNext w:val="0"/>
              <w:keepLines w:val="0"/>
              <w:widowControl/>
              <w:suppressLineNumbers w:val="0"/>
              <w:jc w:val="right"/>
              <w:textAlignment w:val="center"/>
              <w:rPr>
                <w:rFonts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2196.55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电容接触器（专用件）</w:t>
            </w:r>
          </w:p>
        </w:tc>
        <w:tc>
          <w:tcPr>
            <w:tcW w:w="2705" w:type="dxa"/>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LC1 DPK12M7C</w:t>
            </w:r>
          </w:p>
        </w:tc>
        <w:tc>
          <w:tcPr>
            <w:tcW w:w="1378" w:type="dxa"/>
            <w:shd w:val="clear" w:color="auto" w:fill="auto"/>
            <w:noWrap/>
            <w:vAlign w:val="center"/>
          </w:tcPr>
          <w:p>
            <w:pPr>
              <w:keepNext w:val="0"/>
              <w:keepLines w:val="0"/>
              <w:widowControl/>
              <w:suppressLineNumbers w:val="0"/>
              <w:jc w:val="right"/>
              <w:textAlignment w:val="center"/>
              <w:rPr>
                <w:rFonts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1526.75</w:t>
            </w:r>
          </w:p>
        </w:tc>
        <w:tc>
          <w:tcPr>
            <w:tcW w:w="121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现有在用品牌施耐德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LED平板灯电源</w:t>
            </w:r>
          </w:p>
        </w:tc>
        <w:tc>
          <w:tcPr>
            <w:tcW w:w="2705" w:type="dxa"/>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60W/220V</w:t>
            </w:r>
          </w:p>
        </w:tc>
        <w:tc>
          <w:tcPr>
            <w:tcW w:w="1378" w:type="dxa"/>
            <w:shd w:val="clear" w:color="auto" w:fill="auto"/>
            <w:noWrap/>
            <w:vAlign w:val="center"/>
          </w:tcPr>
          <w:p>
            <w:pPr>
              <w:keepNext w:val="0"/>
              <w:keepLines w:val="0"/>
              <w:widowControl/>
              <w:suppressLineNumbers w:val="0"/>
              <w:jc w:val="right"/>
              <w:textAlignment w:val="center"/>
              <w:rPr>
                <w:rFonts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39.4</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感应龙头配件</w:t>
            </w:r>
          </w:p>
        </w:tc>
        <w:tc>
          <w:tcPr>
            <w:tcW w:w="2705" w:type="dxa"/>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鹰牌或克劳迪或九牧</w:t>
            </w:r>
          </w:p>
        </w:tc>
        <w:tc>
          <w:tcPr>
            <w:tcW w:w="137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红外探头</w:t>
            </w:r>
          </w:p>
        </w:tc>
        <w:tc>
          <w:tcPr>
            <w:tcW w:w="1378" w:type="dxa"/>
            <w:shd w:val="clear" w:color="auto" w:fill="auto"/>
            <w:noWrap/>
            <w:vAlign w:val="center"/>
          </w:tcPr>
          <w:p>
            <w:pPr>
              <w:keepNext w:val="0"/>
              <w:keepLines w:val="0"/>
              <w:widowControl/>
              <w:suppressLineNumbers w:val="0"/>
              <w:jc w:val="right"/>
              <w:textAlignment w:val="center"/>
              <w:rPr>
                <w:rFonts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205.865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感应龙头配件</w:t>
            </w:r>
          </w:p>
        </w:tc>
        <w:tc>
          <w:tcPr>
            <w:tcW w:w="2705" w:type="dxa"/>
            <w:shd w:val="clear" w:color="auto" w:fill="auto"/>
            <w:vAlign w:val="center"/>
          </w:tcPr>
          <w:p>
            <w:pPr>
              <w:jc w:val="center"/>
            </w:pPr>
            <w:r>
              <w:rPr>
                <w:rFonts w:hint="eastAsia" w:asciiTheme="minorEastAsia" w:hAnsiTheme="minorEastAsia"/>
                <w:color w:val="000000"/>
                <w:szCs w:val="21"/>
              </w:rPr>
              <w:t>鹰牌或克劳迪或九牧</w:t>
            </w:r>
          </w:p>
        </w:tc>
        <w:tc>
          <w:tcPr>
            <w:tcW w:w="137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电磁阀</w:t>
            </w:r>
          </w:p>
        </w:tc>
        <w:tc>
          <w:tcPr>
            <w:tcW w:w="1378" w:type="dxa"/>
            <w:shd w:val="clear" w:color="auto" w:fill="auto"/>
            <w:noWrap/>
            <w:vAlign w:val="center"/>
          </w:tcPr>
          <w:p>
            <w:pPr>
              <w:keepNext w:val="0"/>
              <w:keepLines w:val="0"/>
              <w:widowControl/>
              <w:suppressLineNumbers w:val="0"/>
              <w:jc w:val="right"/>
              <w:textAlignment w:val="center"/>
              <w:rPr>
                <w:rFonts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226.55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感应龙头配件</w:t>
            </w:r>
          </w:p>
        </w:tc>
        <w:tc>
          <w:tcPr>
            <w:tcW w:w="2705" w:type="dxa"/>
            <w:shd w:val="clear" w:color="auto" w:fill="auto"/>
            <w:vAlign w:val="center"/>
          </w:tcPr>
          <w:p>
            <w:pPr>
              <w:jc w:val="center"/>
            </w:pPr>
            <w:r>
              <w:rPr>
                <w:rFonts w:hint="eastAsia" w:asciiTheme="minorEastAsia" w:hAnsiTheme="minorEastAsia"/>
                <w:color w:val="000000"/>
                <w:szCs w:val="21"/>
              </w:rPr>
              <w:t>鹰牌或克劳迪或九牧</w:t>
            </w:r>
          </w:p>
        </w:tc>
        <w:tc>
          <w:tcPr>
            <w:tcW w:w="137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控制主板</w:t>
            </w:r>
          </w:p>
        </w:tc>
        <w:tc>
          <w:tcPr>
            <w:tcW w:w="1378" w:type="dxa"/>
            <w:shd w:val="clear" w:color="auto" w:fill="auto"/>
            <w:noWrap/>
            <w:vAlign w:val="center"/>
          </w:tcPr>
          <w:p>
            <w:pPr>
              <w:keepNext w:val="0"/>
              <w:keepLines w:val="0"/>
              <w:widowControl/>
              <w:suppressLineNumbers w:val="0"/>
              <w:jc w:val="right"/>
              <w:textAlignment w:val="center"/>
              <w:rPr>
                <w:rFonts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104.41</w:t>
            </w:r>
          </w:p>
        </w:tc>
        <w:tc>
          <w:tcPr>
            <w:tcW w:w="1217" w:type="dxa"/>
            <w:shd w:val="clear" w:color="auto" w:fill="auto"/>
            <w:noWrap/>
            <w:vAlign w:val="center"/>
          </w:tcPr>
          <w:p>
            <w:pPr>
              <w:jc w:val="center"/>
              <w:rPr>
                <w:rFonts w:asciiTheme="minorEastAsia" w:hAnsiTheme="minorEastAsia"/>
                <w:color w:val="000000"/>
                <w:szCs w:val="21"/>
              </w:rPr>
            </w:pPr>
          </w:p>
        </w:tc>
      </w:tr>
    </w:tbl>
    <w:p>
      <w:pPr>
        <w:spacing w:line="360" w:lineRule="auto"/>
        <w:rPr>
          <w:b/>
        </w:rPr>
      </w:pPr>
    </w:p>
    <w:p>
      <w:pPr>
        <w:spacing w:line="360" w:lineRule="auto"/>
        <w:rPr>
          <w:b/>
        </w:rPr>
      </w:pPr>
      <w:r>
        <w:rPr>
          <w:b/>
        </w:rPr>
        <w:t>三、货物产地及标准</w:t>
      </w:r>
    </w:p>
    <w:p>
      <w:pPr>
        <w:pStyle w:val="19"/>
        <w:numPr>
          <w:ilvl w:val="0"/>
          <w:numId w:val="10"/>
        </w:numPr>
        <w:spacing w:line="360" w:lineRule="auto"/>
        <w:ind w:left="0" w:firstLine="420"/>
      </w:pPr>
      <w:r>
        <w:rPr>
          <w:rFonts w:hint="eastAsia"/>
        </w:rPr>
        <w:t>成交供应商应提供已注册品牌制造商原装、全新、符合国家及采购人提出的有关质量标准的产品。</w:t>
      </w:r>
    </w:p>
    <w:p>
      <w:pPr>
        <w:pStyle w:val="19"/>
        <w:numPr>
          <w:ilvl w:val="0"/>
          <w:numId w:val="10"/>
        </w:numPr>
        <w:spacing w:line="360" w:lineRule="auto"/>
        <w:ind w:left="0" w:firstLine="420"/>
      </w:pPr>
      <w:r>
        <w:rPr>
          <w:rFonts w:hint="eastAsia"/>
        </w:rPr>
        <w:t>所有货物在开箱检验时必须完好，无破损，配置与装箱单相符。</w:t>
      </w:r>
    </w:p>
    <w:p>
      <w:pPr>
        <w:pStyle w:val="19"/>
        <w:numPr>
          <w:ilvl w:val="0"/>
          <w:numId w:val="10"/>
        </w:numPr>
        <w:spacing w:line="360" w:lineRule="auto"/>
        <w:ind w:left="0" w:firstLine="420"/>
      </w:pPr>
      <w:r>
        <w:rPr>
          <w:rFonts w:hint="eastAsia"/>
        </w:rPr>
        <w:t>漏电附件、漏电开关、空气开关等产品提供制造商出具的合格证等质量证明文件。出厂合格证，序列号、包装箱号与出厂批号一致，并可追索查阅，所有随产品的附件必须齐全。</w:t>
      </w:r>
    </w:p>
    <w:p>
      <w:pPr>
        <w:pStyle w:val="19"/>
        <w:numPr>
          <w:ilvl w:val="0"/>
          <w:numId w:val="10"/>
        </w:numPr>
        <w:spacing w:line="360" w:lineRule="auto"/>
        <w:ind w:left="0" w:firstLine="420"/>
      </w:pPr>
      <w:r>
        <w:rPr>
          <w:rFonts w:hint="eastAsia" w:asciiTheme="minorEastAsia" w:hAnsiTheme="minorEastAsia"/>
        </w:rPr>
        <w:t>★成交供应商所提供产品的性能、配置参数等不能低于磋商文件所提出的要求。</w:t>
      </w:r>
    </w:p>
    <w:p>
      <w:pPr>
        <w:pStyle w:val="19"/>
        <w:numPr>
          <w:ilvl w:val="0"/>
          <w:numId w:val="10"/>
        </w:numPr>
        <w:spacing w:line="360" w:lineRule="auto"/>
        <w:ind w:left="0" w:firstLine="420"/>
      </w:pPr>
      <w:r>
        <w:rPr>
          <w:rFonts w:hint="eastAsia" w:asciiTheme="minorEastAsia" w:hAnsiTheme="minorEastAsia"/>
        </w:rPr>
        <w:t>★采购人配电房及各区电井绝大部分一级、二级负荷配电空气开关均为“施耐德”，若成交供应商提供的货物因无法匹配配电房及各区电井的需求而导致的任何事故，全部责任及损失均由成交供应商自行负责，采购人有权单方终止合同。</w:t>
      </w:r>
    </w:p>
    <w:p>
      <w:pPr>
        <w:pStyle w:val="19"/>
        <w:spacing w:line="360" w:lineRule="auto"/>
        <w:ind w:left="420" w:leftChars="200" w:firstLine="0" w:firstLineChars="0"/>
      </w:pPr>
    </w:p>
    <w:p>
      <w:pPr>
        <w:spacing w:line="360" w:lineRule="auto"/>
        <w:rPr>
          <w:b/>
        </w:rPr>
      </w:pPr>
      <w:r>
        <w:rPr>
          <w:rFonts w:hint="eastAsia"/>
          <w:b/>
        </w:rPr>
        <w:t>四、包装、装卸、运输、保管及保险</w:t>
      </w:r>
    </w:p>
    <w:p>
      <w:pPr>
        <w:spacing w:line="360" w:lineRule="auto"/>
        <w:ind w:firstLine="420" w:firstLineChars="200"/>
        <w:rPr>
          <w:rFonts w:ascii="宋体" w:hAnsi="宋体" w:cs="宋体"/>
          <w:szCs w:val="21"/>
        </w:rPr>
      </w:pPr>
      <w:r>
        <w:rPr>
          <w:rFonts w:hint="eastAsia" w:ascii="宋体" w:hAnsi="宋体" w:cs="宋体"/>
          <w:szCs w:val="21"/>
        </w:rPr>
        <w:t>1、成交供应商所供货物包装质量必须符合国家相关标准，货物的包装均应有良好的防锈、防腐的措施，货物要求有包装保护运至现场。凡由于包装不良造成的损失和由此产生的费用均由成交供应商承担。</w:t>
      </w:r>
    </w:p>
    <w:p>
      <w:pPr>
        <w:spacing w:line="360" w:lineRule="auto"/>
        <w:ind w:firstLine="420" w:firstLineChars="200"/>
        <w:rPr>
          <w:rFonts w:ascii="宋体" w:hAnsi="宋体" w:cs="宋体"/>
          <w:szCs w:val="21"/>
        </w:rPr>
      </w:pPr>
      <w:r>
        <w:rPr>
          <w:rFonts w:hint="eastAsia" w:ascii="宋体" w:hAnsi="宋体" w:cs="宋体"/>
          <w:szCs w:val="21"/>
        </w:rPr>
        <w:t>2、成交供应商负责根据用户指定的地点，将货物送到现场过程中的全部运输，包括装卸车、货物现场的搬运，由此产生的费用均由成交供应商承担。</w:t>
      </w:r>
    </w:p>
    <w:p>
      <w:pPr>
        <w:spacing w:line="360" w:lineRule="auto"/>
        <w:ind w:firstLine="420" w:firstLineChars="200"/>
        <w:rPr>
          <w:rFonts w:ascii="宋体" w:hAnsi="宋体" w:cs="宋体"/>
          <w:szCs w:val="21"/>
        </w:rPr>
      </w:pPr>
      <w:r>
        <w:rPr>
          <w:rFonts w:hint="eastAsia" w:ascii="宋体" w:hAnsi="宋体" w:cs="宋体"/>
          <w:szCs w:val="21"/>
        </w:rPr>
        <w:t>3、如货物运输过程中因事故造成货物短缺、损坏，成交供应商应及时安排换货，以保证合同货物及时交付，换货的相关费用由成交供应商承担。</w:t>
      </w:r>
    </w:p>
    <w:p>
      <w:pPr>
        <w:spacing w:line="360" w:lineRule="auto"/>
        <w:ind w:firstLine="420" w:firstLineChars="200"/>
        <w:rPr>
          <w:rFonts w:ascii="宋体" w:hAnsi="宋体" w:cs="宋体"/>
          <w:szCs w:val="21"/>
        </w:rPr>
      </w:pPr>
      <w:r>
        <w:rPr>
          <w:rFonts w:hint="eastAsia" w:ascii="宋体" w:hAnsi="宋体" w:cs="宋体"/>
          <w:szCs w:val="21"/>
        </w:rPr>
        <w:t>4、货物的质量保险由成交供应商负责，成交供应商负责其派出的现场服务人员人身意外保险。</w:t>
      </w:r>
    </w:p>
    <w:p>
      <w:pPr>
        <w:pStyle w:val="19"/>
      </w:pPr>
    </w:p>
    <w:p>
      <w:pPr>
        <w:spacing w:line="360" w:lineRule="auto"/>
        <w:rPr>
          <w:b/>
        </w:rPr>
      </w:pPr>
      <w:r>
        <w:rPr>
          <w:rFonts w:hint="eastAsia"/>
          <w:b/>
        </w:rPr>
        <w:t>五、验收</w:t>
      </w:r>
    </w:p>
    <w:p>
      <w:pPr>
        <w:pStyle w:val="19"/>
        <w:numPr>
          <w:ilvl w:val="0"/>
          <w:numId w:val="11"/>
        </w:numPr>
        <w:spacing w:line="360" w:lineRule="auto"/>
        <w:ind w:left="0" w:firstLine="420"/>
      </w:pPr>
      <w:r>
        <w:rPr>
          <w:rFonts w:hint="eastAsia"/>
        </w:rPr>
        <w:t>成交供应商将货物送货至采购人指定地点后，由采购人按照采购合同、采购文件要求和响应文件承诺进行核对，根据国家相关法律法规，对货物的规格参数和质量标准进行检查验收。</w:t>
      </w:r>
    </w:p>
    <w:p>
      <w:pPr>
        <w:pStyle w:val="19"/>
        <w:numPr>
          <w:ilvl w:val="0"/>
          <w:numId w:val="11"/>
        </w:numPr>
        <w:spacing w:line="360" w:lineRule="auto"/>
        <w:ind w:left="0" w:firstLine="420"/>
      </w:pPr>
      <w:r>
        <w:rPr>
          <w:rFonts w:hint="eastAsia"/>
        </w:rPr>
        <w:t>货物在验收过程中发现所交付的货物有短缺、次品、损坏或其他不符合磋商文件、合同规定之情形者，采购人有权拒付该批物品的费用，并由成交供应商承担由此发生的一切费用和损失。</w:t>
      </w:r>
    </w:p>
    <w:p>
      <w:pPr>
        <w:pStyle w:val="19"/>
        <w:numPr>
          <w:ilvl w:val="0"/>
          <w:numId w:val="11"/>
        </w:numPr>
        <w:spacing w:line="360" w:lineRule="auto"/>
        <w:ind w:left="0" w:firstLine="420"/>
      </w:pPr>
      <w:r>
        <w:rPr>
          <w:rFonts w:hint="eastAsia"/>
        </w:rPr>
        <w:t>所有货物在使用过程中发现以次充好或使用假冒伪劣产品的，成交供应商除无条件更换货物外，采购人还需按成交货物价格*更换货物数量之总值的5倍金额扣除成交供应商的履约保证金。此种情况超过2次或以上的，履约保证金不予以退还，采购人有权单方终止合同。</w:t>
      </w:r>
    </w:p>
    <w:p>
      <w:pPr>
        <w:pStyle w:val="19"/>
        <w:numPr>
          <w:ilvl w:val="0"/>
          <w:numId w:val="11"/>
        </w:numPr>
        <w:spacing w:line="360" w:lineRule="auto"/>
        <w:ind w:left="0" w:firstLine="420"/>
      </w:pPr>
      <w:r>
        <w:rPr>
          <w:rFonts w:hint="eastAsia"/>
        </w:rPr>
        <w:t>因质量问题发生争议时，由地级市或以上的质检部门进行相关鉴定，鉴定费用先由成交供应商垫付，鉴定结果符合质量技术要求，发生的所有鉴定费用由采购人承担；鉴定结果不符合质量技术要求，发生的所有鉴定费由成交供应商承担。</w:t>
      </w:r>
    </w:p>
    <w:p>
      <w:pPr>
        <w:pStyle w:val="19"/>
        <w:numPr>
          <w:ilvl w:val="0"/>
          <w:numId w:val="11"/>
        </w:numPr>
        <w:spacing w:line="360" w:lineRule="auto"/>
        <w:ind w:left="0" w:firstLine="420"/>
      </w:pPr>
      <w:r>
        <w:rPr>
          <w:rFonts w:hint="eastAsia"/>
        </w:rPr>
        <w:t>若成交供应商提供的产品发生知识产权纠纷的，由成交供应商执行处置与原知识产权所有者协商解决，采购人不承担与之相关的任何经济和法律责任。</w:t>
      </w:r>
    </w:p>
    <w:p>
      <w:pPr>
        <w:pStyle w:val="19"/>
        <w:spacing w:line="360" w:lineRule="auto"/>
        <w:ind w:left="420" w:leftChars="200" w:firstLine="0" w:firstLineChars="0"/>
      </w:pPr>
    </w:p>
    <w:p>
      <w:pPr>
        <w:spacing w:line="360" w:lineRule="auto"/>
        <w:rPr>
          <w:b/>
        </w:rPr>
      </w:pPr>
      <w:r>
        <w:rPr>
          <w:rFonts w:hint="eastAsia"/>
          <w:b/>
        </w:rPr>
        <w:t>六、投标报价要求</w:t>
      </w:r>
    </w:p>
    <w:p>
      <w:pPr>
        <w:pStyle w:val="19"/>
        <w:numPr>
          <w:ilvl w:val="0"/>
          <w:numId w:val="12"/>
        </w:numPr>
        <w:spacing w:line="360" w:lineRule="auto"/>
        <w:ind w:left="0" w:firstLine="420"/>
        <w:rPr>
          <w:rFonts w:asciiTheme="minorEastAsia" w:hAnsiTheme="minorEastAsia"/>
        </w:rPr>
      </w:pPr>
      <w:r>
        <w:rPr>
          <w:rFonts w:hint="eastAsia" w:asciiTheme="minorEastAsia" w:hAnsiTheme="minorEastAsia"/>
        </w:rPr>
        <w:t>★供应商对采购物品的单价报出统一的投标下浮率，下浮率在0%（含本数）-100%（含本数）范围内取值，若报价超出此范围则投标无效。</w:t>
      </w:r>
    </w:p>
    <w:p>
      <w:pPr>
        <w:pStyle w:val="19"/>
        <w:numPr>
          <w:ilvl w:val="0"/>
          <w:numId w:val="12"/>
        </w:numPr>
        <w:spacing w:line="360" w:lineRule="auto"/>
        <w:ind w:left="0" w:firstLine="420"/>
      </w:pPr>
      <w:r>
        <w:rPr>
          <w:rFonts w:hint="eastAsia"/>
        </w:rPr>
        <w:t>供应商报价应为人民币含税全包价，包含货物、包装费、运杂费、保险费、卸车费、配合费、检测费、配送费、税金及供应商认为需要的所有费用，采购人不再单独支付其他费用。</w:t>
      </w:r>
    </w:p>
    <w:p>
      <w:pPr>
        <w:pStyle w:val="19"/>
        <w:numPr>
          <w:ilvl w:val="0"/>
          <w:numId w:val="12"/>
        </w:numPr>
        <w:spacing w:line="360" w:lineRule="auto"/>
        <w:ind w:left="0" w:firstLine="420"/>
      </w:pPr>
      <w:r>
        <w:rPr>
          <w:rFonts w:hint="eastAsia" w:asciiTheme="minorEastAsia" w:hAnsiTheme="minorEastAsia"/>
        </w:rPr>
        <w:t>★协议供货期间的价格：各类货物实际供货价=单价上限值×（1-投标下浮率）。在合同期内，</w:t>
      </w:r>
      <w:r>
        <w:rPr>
          <w:rFonts w:hint="eastAsia" w:ascii="宋体" w:hAnsi="宋体" w:cs="宋体"/>
          <w:bCs/>
          <w:szCs w:val="21"/>
        </w:rPr>
        <w:t>成交价即是合同期间的最终价格，</w:t>
      </w:r>
      <w:r>
        <w:rPr>
          <w:rFonts w:hint="eastAsia" w:asciiTheme="minorEastAsia" w:hAnsiTheme="minorEastAsia"/>
        </w:rPr>
        <w:t>成交价（1-下浮率）不再随着市场同类商品市场价格的调整而进行调整。</w:t>
      </w:r>
    </w:p>
    <w:p>
      <w:pPr>
        <w:spacing w:line="360" w:lineRule="auto"/>
        <w:ind w:firstLine="420" w:firstLineChars="200"/>
      </w:pPr>
      <w:r>
        <w:rPr>
          <w:rFonts w:hint="eastAsia"/>
        </w:rPr>
        <w:t>例：采购人采购管道泵1个，管道泵单价上限值为680.00元/个，成交供应商的下浮率为8%，则管道泵实际供货价=680.00元</w:t>
      </w:r>
      <w:r>
        <w:rPr>
          <w:rFonts w:hint="eastAsia" w:asciiTheme="minorEastAsia" w:hAnsiTheme="minorEastAsia"/>
        </w:rPr>
        <w:t>×</w:t>
      </w:r>
      <w:r>
        <w:rPr>
          <w:rFonts w:hint="eastAsia"/>
        </w:rPr>
        <w:t>（1-8%）=625.60元。</w:t>
      </w:r>
    </w:p>
    <w:p>
      <w:pPr>
        <w:pStyle w:val="19"/>
      </w:pPr>
    </w:p>
    <w:p>
      <w:pPr>
        <w:spacing w:line="360" w:lineRule="auto"/>
        <w:rPr>
          <w:rFonts w:asciiTheme="minorEastAsia" w:hAnsiTheme="minorEastAsia"/>
          <w:b/>
        </w:rPr>
      </w:pPr>
      <w:r>
        <w:rPr>
          <w:rFonts w:hint="eastAsia" w:asciiTheme="minorEastAsia" w:hAnsiTheme="minorEastAsia"/>
          <w:b/>
        </w:rPr>
        <w:t>七、交货方式及交货地点</w:t>
      </w:r>
    </w:p>
    <w:p>
      <w:pPr>
        <w:pStyle w:val="19"/>
        <w:numPr>
          <w:ilvl w:val="0"/>
          <w:numId w:val="13"/>
        </w:numPr>
        <w:spacing w:line="360" w:lineRule="auto"/>
        <w:ind w:left="0" w:firstLine="420"/>
        <w:rPr>
          <w:rFonts w:asciiTheme="minorEastAsia" w:hAnsiTheme="minorEastAsia"/>
        </w:rPr>
      </w:pPr>
      <w:r>
        <w:rPr>
          <w:rFonts w:hint="eastAsia" w:asciiTheme="minorEastAsia" w:hAnsiTheme="minorEastAsia"/>
        </w:rPr>
        <w:t>▲交货方式：一年内分批交货，非紧急货物在接到采购人通知后2个工作日内将所需货物送至交货地点，紧急货物在接到采购人通知后2小时内将所需货物送至交货地点。</w:t>
      </w:r>
    </w:p>
    <w:p>
      <w:pPr>
        <w:pStyle w:val="19"/>
        <w:numPr>
          <w:ilvl w:val="0"/>
          <w:numId w:val="13"/>
        </w:numPr>
        <w:spacing w:line="360" w:lineRule="auto"/>
        <w:ind w:left="0" w:firstLine="420"/>
      </w:pPr>
      <w:r>
        <w:rPr>
          <w:rFonts w:hint="eastAsia"/>
        </w:rPr>
        <w:t>交货地点：按采购人指定地点。</w:t>
      </w:r>
    </w:p>
    <w:p>
      <w:pPr>
        <w:pStyle w:val="19"/>
        <w:spacing w:line="360" w:lineRule="auto"/>
        <w:ind w:left="420" w:leftChars="200" w:firstLine="0" w:firstLineChars="0"/>
      </w:pPr>
    </w:p>
    <w:p>
      <w:pPr>
        <w:spacing w:line="360" w:lineRule="auto"/>
        <w:rPr>
          <w:b/>
        </w:rPr>
      </w:pPr>
      <w:r>
        <w:rPr>
          <w:rFonts w:hint="eastAsia"/>
          <w:b/>
        </w:rPr>
        <w:t>八、质保期及售后服务要求</w:t>
      </w:r>
    </w:p>
    <w:p>
      <w:pPr>
        <w:pStyle w:val="19"/>
        <w:numPr>
          <w:ilvl w:val="0"/>
          <w:numId w:val="14"/>
        </w:numPr>
        <w:spacing w:line="360" w:lineRule="auto"/>
        <w:ind w:left="0" w:firstLine="420"/>
      </w:pPr>
      <w:r>
        <w:rPr>
          <w:rFonts w:hint="eastAsia"/>
        </w:rPr>
        <w:t>成交供应商所提供的货物应是全新正品，其质量、规格满足用户需求，且必须符合国家行业生产及经营标准，货真价实，均能提供相应的合格证明资料。</w:t>
      </w:r>
    </w:p>
    <w:p>
      <w:pPr>
        <w:pStyle w:val="19"/>
        <w:numPr>
          <w:ilvl w:val="0"/>
          <w:numId w:val="14"/>
        </w:numPr>
        <w:spacing w:line="360" w:lineRule="auto"/>
        <w:ind w:left="0" w:firstLine="420"/>
      </w:pPr>
      <w:r>
        <w:rPr>
          <w:rFonts w:hint="eastAsia" w:ascii="宋体" w:hAnsi="宋体" w:cs="宋体"/>
          <w:szCs w:val="21"/>
        </w:rPr>
        <w:t>因成交供应商所供应的货物质量问题造成采购人设备故障或出现严重事故的，由成交供应商负责维修，所造成的一切损失及责任由成交供应承担。</w:t>
      </w:r>
    </w:p>
    <w:p>
      <w:pPr>
        <w:pStyle w:val="19"/>
        <w:numPr>
          <w:ilvl w:val="0"/>
          <w:numId w:val="14"/>
        </w:numPr>
        <w:spacing w:line="360" w:lineRule="auto"/>
        <w:ind w:left="0" w:firstLine="420"/>
      </w:pPr>
      <w:r>
        <w:rPr>
          <w:rFonts w:hint="eastAsia" w:asciiTheme="minorEastAsia" w:hAnsiTheme="minorEastAsia"/>
        </w:rPr>
        <w:t>▲货物在质保期内如有质量问题时，成交供应商必须对采购人提出的质量异议在1小时内予以响应并针对问题提出解决办法，2小时内到达现场，</w:t>
      </w:r>
      <w:r>
        <w:rPr>
          <w:rFonts w:hint="eastAsia" w:ascii="宋体" w:hAnsi="宋体" w:cs="宋体"/>
          <w:szCs w:val="21"/>
        </w:rPr>
        <w:t>解决问题的时限为到达现场后3小时内。</w:t>
      </w:r>
      <w:r>
        <w:rPr>
          <w:rFonts w:hint="eastAsia" w:asciiTheme="minorEastAsia" w:hAnsiTheme="minorEastAsia"/>
        </w:rPr>
        <w:t>如到场后3小时内仍无法解决或需更换的，成交供应商应另行提供等同或优于原参数的产品供采购人使用。未能及时完成修理或更换的，采购人有权自行购买更换，所支付费用从履约保证金中扣除。</w:t>
      </w:r>
    </w:p>
    <w:p>
      <w:pPr>
        <w:pStyle w:val="19"/>
        <w:numPr>
          <w:ilvl w:val="0"/>
          <w:numId w:val="14"/>
        </w:numPr>
        <w:spacing w:line="360" w:lineRule="auto"/>
        <w:ind w:left="0" w:firstLine="420"/>
        <w:rPr>
          <w:rFonts w:ascii="宋体" w:hAnsi="宋体" w:cs="宋体"/>
          <w:b/>
          <w:szCs w:val="21"/>
        </w:rPr>
      </w:pPr>
      <w:r>
        <w:rPr>
          <w:rFonts w:hint="eastAsia" w:asciiTheme="minorEastAsia" w:hAnsiTheme="minorEastAsia"/>
        </w:rPr>
        <w:t>▲</w:t>
      </w:r>
      <w:r>
        <w:rPr>
          <w:rFonts w:hint="eastAsia" w:ascii="宋体" w:hAnsi="宋体" w:cs="宋体"/>
          <w:szCs w:val="21"/>
        </w:rPr>
        <w:t>质保期内，成交供应商提供24小时响应服务。成交供应商需</w:t>
      </w:r>
      <w:r>
        <w:rPr>
          <w:rFonts w:hint="eastAsia" w:asciiTheme="minorEastAsia" w:hAnsiTheme="minorEastAsia"/>
        </w:rPr>
        <w:t>指定一名人员为本项目负责人，负责人要保证服务电话24小时保持畅通。</w:t>
      </w:r>
    </w:p>
    <w:p>
      <w:pPr>
        <w:pStyle w:val="19"/>
        <w:numPr>
          <w:ilvl w:val="0"/>
          <w:numId w:val="14"/>
        </w:numPr>
        <w:spacing w:line="360" w:lineRule="auto"/>
        <w:ind w:left="0" w:firstLine="420"/>
      </w:pPr>
      <w:r>
        <w:rPr>
          <w:rFonts w:hint="eastAsia" w:ascii="宋体" w:hAnsi="宋体" w:cs="宋体"/>
          <w:bCs/>
          <w:szCs w:val="21"/>
        </w:rPr>
        <w:t>★质保期：当次所送货物质保期为验收合格之日起壹年，质保期内成交供应商须提供“包退、包换、包修”的质量“三包”服务。货物如不符合国家的有关质量标准、磋商文件参数要求的，采购人有权拒收，成交供应商应无条件退换货物，退换期限为5个自然日内，由此产生的一切费用由成交供应商承担，如造成采购人经济损失的，采购人有权进行索赔。</w:t>
      </w:r>
    </w:p>
    <w:p>
      <w:pPr>
        <w:pStyle w:val="19"/>
        <w:spacing w:line="360" w:lineRule="auto"/>
        <w:ind w:left="420" w:leftChars="200" w:firstLine="0" w:firstLineChars="0"/>
      </w:pPr>
    </w:p>
    <w:p>
      <w:pPr>
        <w:spacing w:line="360" w:lineRule="auto"/>
        <w:rPr>
          <w:rFonts w:asciiTheme="minorEastAsia" w:hAnsiTheme="minorEastAsia"/>
          <w:b/>
        </w:rPr>
      </w:pPr>
      <w:r>
        <w:rPr>
          <w:rFonts w:hint="eastAsia" w:asciiTheme="minorEastAsia" w:hAnsiTheme="minorEastAsia"/>
          <w:b/>
        </w:rPr>
        <w:t>九、付款方式</w:t>
      </w:r>
    </w:p>
    <w:p>
      <w:pPr>
        <w:spacing w:line="360" w:lineRule="auto"/>
        <w:ind w:firstLine="420" w:firstLineChars="200"/>
        <w:rPr>
          <w:rFonts w:ascii="宋体" w:hAnsi="宋体" w:cs="宋体"/>
          <w:szCs w:val="21"/>
        </w:rPr>
      </w:pPr>
      <w:r>
        <w:rPr>
          <w:rFonts w:hint="eastAsia" w:ascii="宋体" w:hAnsi="宋体" w:cs="宋体"/>
          <w:szCs w:val="21"/>
        </w:rPr>
        <w:t>1、合同签订后，供货期内采购人可按照实际使用需要分批次要求成交供应商供货。合同无预付款，每批次订货无预付款。</w:t>
      </w:r>
    </w:p>
    <w:p>
      <w:pPr>
        <w:spacing w:line="360" w:lineRule="auto"/>
        <w:ind w:firstLine="420" w:firstLineChars="200"/>
        <w:rPr>
          <w:rFonts w:ascii="宋体" w:hAnsi="宋体" w:cs="宋体"/>
          <w:szCs w:val="21"/>
        </w:rPr>
      </w:pPr>
      <w:r>
        <w:rPr>
          <w:rFonts w:hint="eastAsia" w:ascii="宋体" w:hAnsi="宋体" w:cs="宋体"/>
          <w:szCs w:val="21"/>
        </w:rPr>
        <w:t>2、按月结算。成交供应商接到采购人的下单通知后，按采购人要求的品种及数量提供货物，经双方确认验收合格后，成交供应商开具该批次所供货物的有效全额普通发票（含税），采购人在收到发票并审核无误后一个月内付款给成交供应商。</w:t>
      </w:r>
    </w:p>
    <w:p>
      <w:pPr>
        <w:pStyle w:val="22"/>
        <w:spacing w:line="360" w:lineRule="auto"/>
        <w:rPr>
          <w:rFonts w:ascii="宋体" w:hAnsi="宋体"/>
          <w:b/>
          <w:szCs w:val="21"/>
        </w:rPr>
      </w:pPr>
      <w:r>
        <w:rPr>
          <w:rFonts w:hint="eastAsia" w:ascii="宋体" w:hAnsi="宋体" w:cs="宋体"/>
          <w:szCs w:val="21"/>
        </w:rPr>
        <w:t>3、成交供应商须开具与响应文件中供应商名称一致的发票。</w:t>
      </w:r>
      <w:r>
        <w:rPr>
          <w:rFonts w:ascii="宋体" w:hAnsi="宋体"/>
          <w:b/>
          <w:szCs w:val="21"/>
        </w:rPr>
        <w:tab/>
      </w:r>
    </w:p>
    <w:p>
      <w:pPr>
        <w:pStyle w:val="22"/>
        <w:spacing w:line="360" w:lineRule="auto"/>
        <w:ind w:firstLine="422"/>
        <w:rPr>
          <w:rFonts w:ascii="宋体" w:hAnsi="宋体"/>
          <w:b/>
          <w:szCs w:val="21"/>
        </w:rPr>
      </w:pPr>
    </w:p>
    <w:p>
      <w:pPr>
        <w:spacing w:line="360" w:lineRule="auto"/>
        <w:rPr>
          <w:b/>
        </w:rPr>
      </w:pPr>
      <w:r>
        <w:rPr>
          <w:rFonts w:hint="eastAsia"/>
          <w:b/>
        </w:rPr>
        <w:t>十、履约保证金</w:t>
      </w:r>
    </w:p>
    <w:p>
      <w:pPr>
        <w:spacing w:line="360" w:lineRule="auto"/>
        <w:ind w:firstLine="210" w:firstLineChars="100"/>
        <w:rPr>
          <w:rFonts w:ascii="宋体" w:hAnsi="宋体" w:cs="宋体"/>
          <w:bCs/>
          <w:szCs w:val="21"/>
        </w:rPr>
      </w:pPr>
      <w:r>
        <w:rPr>
          <w:rFonts w:hint="eastAsia" w:asciiTheme="minorEastAsia" w:hAnsiTheme="minorEastAsia"/>
        </w:rPr>
        <w:t>★1、</w:t>
      </w:r>
      <w:r>
        <w:rPr>
          <w:rFonts w:hint="eastAsia" w:ascii="宋体" w:hAnsi="宋体" w:cs="宋体"/>
          <w:bCs/>
          <w:szCs w:val="21"/>
        </w:rPr>
        <w:t>成交供应商与采购人签订合同后5个工作日内需向采购人交合同总金额的5%作为履约保证金。履约保证金的退还为最后一批送货验收合格后一个月内一次性退还。如有违约事项，采购人根据约定条款扣款，剩余款项予以无息退还。</w:t>
      </w:r>
    </w:p>
    <w:p>
      <w:pPr>
        <w:pStyle w:val="19"/>
        <w:spacing w:line="360" w:lineRule="auto"/>
        <w:ind w:firstLine="210" w:firstLineChars="100"/>
        <w:rPr>
          <w:rFonts w:ascii="宋体" w:hAnsi="宋体" w:cs="宋体"/>
          <w:bCs/>
          <w:szCs w:val="21"/>
        </w:rPr>
      </w:pPr>
      <w:r>
        <w:rPr>
          <w:rFonts w:hint="eastAsia" w:asciiTheme="minorEastAsia" w:hAnsiTheme="minorEastAsia"/>
        </w:rPr>
        <w:t>★</w:t>
      </w:r>
      <w:r>
        <w:rPr>
          <w:rFonts w:hint="eastAsia" w:ascii="宋体" w:hAnsi="宋体" w:cs="宋体"/>
          <w:bCs/>
          <w:szCs w:val="21"/>
        </w:rPr>
        <w:t>2、成交供应商逾期交货的，则每逾期一天按合同总价的5‰支付违约金给采购人。如超过合同规定交货期限10天成交供应商仍不能交货的，则视为成交供应商不能交货，成交供应商不能交货的，则按合同总价30%支付违约金给采购人。同时，采购人有权单方面解除合同且履约保证金不再退还。如上述违约金及履约保证金的金额仍不足以补偿采购人因成交供应商违约造成的损失，采购人有权进一步向成交供应商提出索赔。</w:t>
      </w:r>
    </w:p>
    <w:p>
      <w:pPr>
        <w:pStyle w:val="19"/>
        <w:spacing w:line="360" w:lineRule="auto"/>
        <w:ind w:firstLine="210" w:firstLineChars="100"/>
        <w:rPr>
          <w:rFonts w:ascii="宋体" w:hAnsi="宋体" w:cs="宋体"/>
          <w:bCs/>
          <w:color w:val="FF0000"/>
          <w:szCs w:val="21"/>
        </w:rPr>
      </w:pPr>
    </w:p>
    <w:p>
      <w:pPr>
        <w:spacing w:line="360" w:lineRule="auto"/>
        <w:rPr>
          <w:rFonts w:asciiTheme="minorEastAsia" w:hAnsiTheme="minorEastAsia"/>
          <w:b/>
        </w:rPr>
      </w:pPr>
      <w:r>
        <w:rPr>
          <w:rFonts w:hint="eastAsia" w:asciiTheme="minorEastAsia" w:hAnsiTheme="minorEastAsia"/>
          <w:b/>
        </w:rPr>
        <w:t>十一、技术文件</w:t>
      </w:r>
    </w:p>
    <w:p>
      <w:pPr>
        <w:spacing w:line="360" w:lineRule="auto"/>
        <w:ind w:firstLine="420" w:firstLineChars="200"/>
        <w:rPr>
          <w:rFonts w:asciiTheme="minorEastAsia" w:hAnsiTheme="minorEastAsia"/>
        </w:rPr>
      </w:pPr>
      <w:r>
        <w:rPr>
          <w:rFonts w:hint="eastAsia" w:asciiTheme="minorEastAsia" w:hAnsiTheme="minorEastAsia"/>
        </w:rPr>
        <w:t>供应商应提供包括但不限于所供应产品的使用和维护的技术文件。</w:t>
      </w:r>
    </w:p>
    <w:p>
      <w:pPr>
        <w:spacing w:line="360" w:lineRule="auto"/>
        <w:rPr>
          <w:rFonts w:asciiTheme="minorEastAsia" w:hAnsiTheme="minorEastAsia"/>
          <w:b/>
        </w:rPr>
      </w:pPr>
    </w:p>
    <w:p>
      <w:pPr>
        <w:spacing w:line="360" w:lineRule="auto"/>
        <w:rPr>
          <w:rFonts w:asciiTheme="minorEastAsia" w:hAnsiTheme="minorEastAsia"/>
          <w:b/>
        </w:rPr>
      </w:pPr>
      <w:r>
        <w:rPr>
          <w:rFonts w:hint="eastAsia" w:asciiTheme="minorEastAsia" w:hAnsiTheme="minorEastAsia"/>
          <w:b/>
        </w:rPr>
        <w:t>十二、知识产权</w:t>
      </w:r>
    </w:p>
    <w:p>
      <w:pPr>
        <w:snapToGrid w:val="0"/>
        <w:spacing w:line="360" w:lineRule="auto"/>
        <w:ind w:firstLine="420" w:firstLineChars="200"/>
        <w:rPr>
          <w:rFonts w:hint="eastAsia" w:ascii="宋体" w:hAnsi="宋体" w:cs="宋体"/>
          <w:bCs/>
          <w:szCs w:val="21"/>
        </w:rPr>
      </w:pPr>
      <w:r>
        <w:rPr>
          <w:rFonts w:hint="eastAsia" w:ascii="宋体" w:hAnsi="宋体" w:cs="宋体"/>
          <w:bCs/>
          <w:szCs w:val="21"/>
        </w:rPr>
        <w:t>成交供应商应保证执行本项目向采购人提供的所有货物、材料、工序工艺等产品不侵犯第三方知识产权、商业秘密等权利。若发生侵犯第三方权利的情况,成交供应商应负责与第三方交涉, 并承担由此而产生的一切法律责任, 如采购人因此而遭受损失，成交供应商应承担全部的赔偿责任。</w:t>
      </w:r>
    </w:p>
    <w:p>
      <w:pPr>
        <w:pStyle w:val="2"/>
        <w:rPr>
          <w:rFonts w:hint="eastAsia" w:ascii="宋体" w:hAnsi="宋体" w:cs="宋体"/>
          <w:bCs/>
          <w:szCs w:val="21"/>
        </w:rPr>
      </w:pPr>
    </w:p>
    <w:p>
      <w:pPr>
        <w:pStyle w:val="3"/>
        <w:rPr>
          <w:rFonts w:hint="eastAsia" w:ascii="宋体" w:hAnsi="宋体" w:cs="宋体"/>
          <w:bCs/>
          <w:szCs w:val="21"/>
        </w:rPr>
      </w:pPr>
    </w:p>
    <w:p>
      <w:pPr>
        <w:rPr>
          <w:rFonts w:hint="eastAsia" w:ascii="宋体" w:hAnsi="宋体" w:cs="宋体"/>
          <w:bCs/>
          <w:szCs w:val="21"/>
        </w:rPr>
      </w:pPr>
    </w:p>
    <w:p>
      <w:pPr>
        <w:pStyle w:val="2"/>
      </w:pPr>
    </w:p>
    <w:p>
      <w:pPr>
        <w:pStyle w:val="19"/>
        <w:ind w:firstLine="0" w:firstLineChars="0"/>
      </w:pPr>
    </w:p>
    <w:p>
      <w:pPr>
        <w:pStyle w:val="2"/>
        <w:rPr>
          <w:rFonts w:hint="eastAsia" w:ascii="宋体" w:hAnsi="宋体" w:eastAsia="宋体" w:cs="宋体"/>
          <w:sz w:val="44"/>
          <w:szCs w:val="44"/>
          <w:lang w:val="en-US" w:eastAsia="zh-CN"/>
        </w:rPr>
      </w:pPr>
    </w:p>
    <w:p>
      <w:pPr>
        <w:pStyle w:val="3"/>
        <w:rPr>
          <w:rFonts w:hint="eastAsia" w:ascii="宋体" w:hAnsi="宋体" w:eastAsia="宋体" w:cs="宋体"/>
          <w:sz w:val="44"/>
          <w:szCs w:val="44"/>
          <w:lang w:val="en-US" w:eastAsia="zh-CN"/>
        </w:rPr>
      </w:pPr>
    </w:p>
    <w:p>
      <w:pPr>
        <w:rPr>
          <w:rFonts w:hint="eastAsia" w:ascii="宋体" w:hAnsi="宋体" w:eastAsia="宋体" w:cs="宋体"/>
          <w:sz w:val="44"/>
          <w:szCs w:val="44"/>
          <w:lang w:val="en-US" w:eastAsia="zh-CN"/>
        </w:rPr>
      </w:pPr>
    </w:p>
    <w:p>
      <w:pPr>
        <w:pStyle w:val="2"/>
        <w:rPr>
          <w:rFonts w:hint="eastAsia" w:ascii="宋体" w:hAnsi="宋体" w:eastAsia="宋体" w:cs="宋体"/>
          <w:sz w:val="44"/>
          <w:szCs w:val="44"/>
          <w:lang w:val="en-US" w:eastAsia="zh-CN"/>
        </w:rPr>
      </w:pPr>
    </w:p>
    <w:p>
      <w:pPr>
        <w:pStyle w:val="3"/>
        <w:rPr>
          <w:rFonts w:hint="eastAsia" w:ascii="宋体" w:hAnsi="宋体" w:eastAsia="宋体" w:cs="宋体"/>
          <w:sz w:val="44"/>
          <w:szCs w:val="44"/>
          <w:lang w:val="en-US" w:eastAsia="zh-CN"/>
        </w:rPr>
      </w:pPr>
    </w:p>
    <w:p>
      <w:pPr>
        <w:rPr>
          <w:rFonts w:hint="eastAsia" w:ascii="宋体" w:hAnsi="宋体" w:eastAsia="宋体" w:cs="宋体"/>
          <w:sz w:val="44"/>
          <w:szCs w:val="44"/>
          <w:lang w:val="en-US" w:eastAsia="zh-CN"/>
        </w:rPr>
      </w:pPr>
    </w:p>
    <w:p>
      <w:pPr>
        <w:pStyle w:val="2"/>
        <w:rPr>
          <w:rFonts w:hint="eastAsia" w:ascii="宋体" w:hAnsi="宋体" w:eastAsia="宋体" w:cs="宋体"/>
          <w:sz w:val="44"/>
          <w:szCs w:val="44"/>
          <w:lang w:val="en-US" w:eastAsia="zh-CN"/>
        </w:rPr>
      </w:pPr>
    </w:p>
    <w:p>
      <w:pPr>
        <w:pStyle w:val="3"/>
        <w:rPr>
          <w:rFonts w:hint="eastAsia"/>
          <w:lang w:val="en-US" w:eastAsia="zh-CN"/>
        </w:rPr>
      </w:pPr>
    </w:p>
    <w:p>
      <w:pPr>
        <w:pStyle w:val="3"/>
        <w:ind w:left="0" w:leftChars="0" w:firstLine="0" w:firstLineChars="0"/>
        <w:rPr>
          <w:rFonts w:hint="eastAsia" w:ascii="宋体" w:hAnsi="宋体" w:eastAsia="宋体" w:cs="宋体"/>
          <w:sz w:val="44"/>
          <w:szCs w:val="44"/>
          <w:lang w:val="en-US" w:eastAsia="zh-CN"/>
        </w:rPr>
      </w:pPr>
    </w:p>
    <w:p>
      <w:pPr>
        <w:pStyle w:val="3"/>
        <w:ind w:left="0" w:leftChars="0" w:firstLine="0" w:firstLineChars="0"/>
        <w:rPr>
          <w:rFonts w:hint="eastAsia" w:ascii="宋体" w:hAnsi="宋体" w:eastAsia="宋体" w:cs="宋体"/>
          <w:sz w:val="44"/>
          <w:szCs w:val="44"/>
          <w:lang w:val="en-US" w:eastAsia="zh-CN"/>
        </w:rPr>
      </w:pPr>
    </w:p>
    <w:p>
      <w:pPr>
        <w:pStyle w:val="4"/>
        <w:numPr>
          <w:ilvl w:val="0"/>
          <w:numId w:val="15"/>
        </w:numPr>
        <w:bidi w:val="0"/>
        <w:jc w:val="center"/>
        <w:rPr>
          <w:rFonts w:hint="eastAsia"/>
          <w:lang w:val="en-US" w:eastAsia="zh-CN"/>
        </w:rPr>
      </w:pPr>
      <w:bookmarkStart w:id="4" w:name="_Toc32635"/>
      <w:r>
        <w:rPr>
          <w:rFonts w:hint="eastAsia"/>
          <w:lang w:val="en-US" w:eastAsia="zh-CN"/>
        </w:rPr>
        <w:t>评分标准</w:t>
      </w:r>
      <w:bookmarkEnd w:id="4"/>
    </w:p>
    <w:p>
      <w:pPr>
        <w:widowControl w:val="0"/>
        <w:numPr>
          <w:ilvl w:val="0"/>
          <w:numId w:val="0"/>
        </w:numPr>
        <w:jc w:val="both"/>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keepNext w:val="0"/>
        <w:keepLines w:val="0"/>
        <w:pageBreakBefore w:val="0"/>
        <w:kinsoku/>
        <w:topLinePunct w:val="0"/>
        <w:bidi w:val="0"/>
        <w:spacing w:line="500" w:lineRule="exact"/>
        <w:jc w:val="center"/>
        <w:textAlignment w:val="auto"/>
        <w:rPr>
          <w:rFonts w:hint="eastAsia" w:ascii="宋体" w:hAnsi="宋体" w:eastAsia="宋体" w:cs="宋体"/>
          <w:b/>
          <w:bCs/>
          <w:color w:val="000000" w:themeColor="text1"/>
          <w:sz w:val="48"/>
          <w:szCs w:val="48"/>
          <w:highlight w:val="none"/>
          <w14:textFill>
            <w14:solidFill>
              <w14:schemeClr w14:val="tx1"/>
            </w14:solidFill>
          </w14:textFill>
        </w:rPr>
      </w:pPr>
      <w:r>
        <w:rPr>
          <w:rFonts w:hint="eastAsia" w:ascii="宋体" w:hAnsi="宋体" w:eastAsia="宋体" w:cs="宋体"/>
          <w:b/>
          <w:bCs/>
          <w:color w:val="000000" w:themeColor="text1"/>
          <w:sz w:val="48"/>
          <w:szCs w:val="48"/>
          <w:highlight w:val="none"/>
          <w14:textFill>
            <w14:solidFill>
              <w14:schemeClr w14:val="tx1"/>
            </w14:solidFill>
          </w14:textFill>
        </w:rPr>
        <w:t>评分表</w:t>
      </w:r>
    </w:p>
    <w:p>
      <w:pPr>
        <w:ind w:firstLine="420" w:firstLineChars="200"/>
        <w:rPr>
          <w:rFonts w:asciiTheme="minorEastAsia" w:hAnsiTheme="minorEastAsia"/>
        </w:rPr>
      </w:pPr>
      <w:r>
        <w:rPr>
          <w:rFonts w:hint="eastAsia" w:asciiTheme="minorEastAsia" w:hAnsiTheme="minorEastAsia"/>
        </w:rPr>
        <w:t>1、分值权重：</w:t>
      </w:r>
    </w:p>
    <w:tbl>
      <w:tblPr>
        <w:tblStyle w:val="14"/>
        <w:tblW w:w="78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75"/>
        <w:gridCol w:w="2734"/>
        <w:gridCol w:w="25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575" w:type="dxa"/>
            <w:tcBorders>
              <w:top w:val="double" w:color="auto" w:sz="4" w:space="0"/>
              <w:bottom w:val="single" w:color="auto" w:sz="6" w:space="0"/>
            </w:tcBorders>
            <w:shd w:val="clear" w:color="auto" w:fill="E0E0E0"/>
            <w:vAlign w:val="center"/>
          </w:tcPr>
          <w:p>
            <w:pPr>
              <w:ind w:left="105" w:hanging="105"/>
              <w:jc w:val="center"/>
              <w:rPr>
                <w:b/>
              </w:rPr>
            </w:pPr>
            <w:r>
              <w:rPr>
                <w:rFonts w:hint="eastAsia" w:ascii="宋体" w:hAnsi="宋体"/>
                <w:b/>
              </w:rPr>
              <w:t>评分项目</w:t>
            </w:r>
          </w:p>
        </w:tc>
        <w:tc>
          <w:tcPr>
            <w:tcW w:w="2734" w:type="dxa"/>
            <w:tcBorders>
              <w:top w:val="double" w:color="auto" w:sz="4" w:space="0"/>
              <w:bottom w:val="single" w:color="auto" w:sz="6" w:space="0"/>
            </w:tcBorders>
            <w:shd w:val="clear" w:color="auto" w:fill="E0E0E0"/>
            <w:vAlign w:val="center"/>
          </w:tcPr>
          <w:p>
            <w:pPr>
              <w:ind w:left="105" w:hanging="105"/>
              <w:jc w:val="center"/>
              <w:rPr>
                <w:b/>
              </w:rPr>
            </w:pPr>
            <w:r>
              <w:rPr>
                <w:rFonts w:hint="eastAsia" w:ascii="宋体" w:hAnsi="宋体"/>
                <w:b/>
              </w:rPr>
              <w:t>技术商务评分</w:t>
            </w:r>
          </w:p>
        </w:tc>
        <w:tc>
          <w:tcPr>
            <w:tcW w:w="2571" w:type="dxa"/>
            <w:tcBorders>
              <w:top w:val="double" w:color="auto" w:sz="4" w:space="0"/>
              <w:left w:val="single" w:color="auto" w:sz="4" w:space="0"/>
              <w:bottom w:val="single" w:color="auto" w:sz="6" w:space="0"/>
            </w:tcBorders>
            <w:shd w:val="clear" w:color="auto" w:fill="E0E0E0"/>
            <w:vAlign w:val="center"/>
          </w:tcPr>
          <w:p>
            <w:pPr>
              <w:ind w:left="105" w:hanging="105"/>
              <w:jc w:val="center"/>
              <w:rPr>
                <w:b/>
              </w:rPr>
            </w:pPr>
            <w:r>
              <w:rPr>
                <w:rFonts w:hint="eastAsia" w:ascii="宋体" w:hAnsi="宋体"/>
                <w:b/>
              </w:rPr>
              <w:t>价格评分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2575" w:type="dxa"/>
            <w:tcBorders>
              <w:top w:val="single" w:color="auto" w:sz="6" w:space="0"/>
            </w:tcBorders>
            <w:vAlign w:val="center"/>
          </w:tcPr>
          <w:p>
            <w:pPr>
              <w:ind w:left="105" w:hanging="105"/>
              <w:jc w:val="center"/>
              <w:rPr>
                <w:b/>
              </w:rPr>
            </w:pPr>
            <w:r>
              <w:rPr>
                <w:rFonts w:hint="eastAsia" w:ascii="宋体" w:hAnsi="宋体"/>
                <w:b/>
              </w:rPr>
              <w:t>分   值</w:t>
            </w:r>
          </w:p>
        </w:tc>
        <w:tc>
          <w:tcPr>
            <w:tcW w:w="2734" w:type="dxa"/>
            <w:tcBorders>
              <w:top w:val="single" w:color="auto" w:sz="6" w:space="0"/>
            </w:tcBorders>
            <w:vAlign w:val="center"/>
          </w:tcPr>
          <w:p>
            <w:pPr>
              <w:ind w:left="105" w:hanging="105"/>
              <w:jc w:val="center"/>
            </w:pPr>
            <w:r>
              <w:rPr>
                <w:rFonts w:hint="eastAsia" w:ascii="宋体"/>
              </w:rPr>
              <w:t>60</w:t>
            </w:r>
            <w:r>
              <w:rPr>
                <w:rFonts w:hint="eastAsia" w:ascii="宋体" w:hAnsi="宋体"/>
              </w:rPr>
              <w:t>分</w:t>
            </w:r>
          </w:p>
        </w:tc>
        <w:tc>
          <w:tcPr>
            <w:tcW w:w="2571" w:type="dxa"/>
            <w:tcBorders>
              <w:top w:val="single" w:color="auto" w:sz="6" w:space="0"/>
              <w:left w:val="single" w:color="auto" w:sz="4" w:space="0"/>
            </w:tcBorders>
            <w:vAlign w:val="center"/>
          </w:tcPr>
          <w:p>
            <w:pPr>
              <w:ind w:left="105" w:hanging="105"/>
              <w:jc w:val="center"/>
              <w:rPr>
                <w:rFonts w:ascii="宋体"/>
              </w:rPr>
            </w:pPr>
            <w:r>
              <w:rPr>
                <w:rFonts w:hint="eastAsia" w:ascii="宋体"/>
              </w:rPr>
              <w:t>40分</w:t>
            </w:r>
          </w:p>
        </w:tc>
      </w:tr>
    </w:tbl>
    <w:p>
      <w:pPr>
        <w:spacing w:line="360" w:lineRule="auto"/>
      </w:pPr>
    </w:p>
    <w:p>
      <w:pPr>
        <w:spacing w:line="360" w:lineRule="auto"/>
      </w:pPr>
      <w:r>
        <w:rPr>
          <w:rFonts w:hint="eastAsia"/>
        </w:rPr>
        <w:t>2、技术商务评审：</w:t>
      </w:r>
    </w:p>
    <w:tbl>
      <w:tblPr>
        <w:tblStyle w:val="14"/>
        <w:tblW w:w="8149" w:type="dxa"/>
        <w:jc w:val="center"/>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Layout w:type="fixed"/>
        <w:tblCellMar>
          <w:top w:w="0" w:type="dxa"/>
          <w:left w:w="57" w:type="dxa"/>
          <w:bottom w:w="0" w:type="dxa"/>
          <w:right w:w="57" w:type="dxa"/>
        </w:tblCellMar>
      </w:tblPr>
      <w:tblGrid>
        <w:gridCol w:w="543"/>
        <w:gridCol w:w="655"/>
        <w:gridCol w:w="600"/>
        <w:gridCol w:w="5478"/>
        <w:gridCol w:w="873"/>
      </w:tblGrid>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57" w:type="dxa"/>
            <w:bottom w:w="0" w:type="dxa"/>
            <w:right w:w="57" w:type="dxa"/>
          </w:tblCellMar>
        </w:tblPrEx>
        <w:trPr>
          <w:trHeight w:val="284" w:hRule="atLeast"/>
          <w:jc w:val="center"/>
        </w:trPr>
        <w:tc>
          <w:tcPr>
            <w:tcW w:w="543" w:type="dxa"/>
            <w:tcBorders>
              <w:top w:val="single" w:color="auto" w:sz="4" w:space="0"/>
              <w:left w:val="single" w:color="auto" w:sz="4" w:space="0"/>
              <w:bottom w:val="single" w:color="auto" w:sz="4" w:space="0"/>
              <w:right w:val="single" w:color="auto" w:sz="4" w:space="0"/>
            </w:tcBorders>
            <w:shd w:val="clear" w:color="000000" w:fill="D9D9D9"/>
            <w:vAlign w:val="center"/>
          </w:tcPr>
          <w:p>
            <w:pPr>
              <w:jc w:val="center"/>
              <w:rPr>
                <w:rFonts w:ascii="宋体" w:hAnsi="宋体" w:cs="宋体"/>
                <w:b/>
                <w:szCs w:val="21"/>
              </w:rPr>
            </w:pPr>
            <w:r>
              <w:rPr>
                <w:rFonts w:hint="eastAsia" w:ascii="宋体" w:hAnsi="宋体" w:cs="宋体"/>
                <w:b/>
                <w:szCs w:val="21"/>
              </w:rPr>
              <w:t>序号</w:t>
            </w:r>
          </w:p>
        </w:tc>
        <w:tc>
          <w:tcPr>
            <w:tcW w:w="655" w:type="dxa"/>
            <w:tcBorders>
              <w:top w:val="single" w:color="auto" w:sz="4" w:space="0"/>
              <w:left w:val="single" w:color="auto" w:sz="4" w:space="0"/>
              <w:bottom w:val="single" w:color="auto" w:sz="4" w:space="0"/>
              <w:right w:val="single" w:color="auto" w:sz="4" w:space="0"/>
            </w:tcBorders>
            <w:shd w:val="clear" w:color="000000" w:fill="D9D9D9"/>
            <w:vAlign w:val="center"/>
          </w:tcPr>
          <w:p>
            <w:pPr>
              <w:jc w:val="center"/>
              <w:rPr>
                <w:rFonts w:ascii="宋体" w:hAnsi="宋体" w:cs="宋体"/>
                <w:b/>
                <w:szCs w:val="21"/>
              </w:rPr>
            </w:pPr>
            <w:r>
              <w:rPr>
                <w:rFonts w:hint="eastAsia" w:ascii="宋体" w:hAnsi="宋体" w:cs="宋体"/>
                <w:b/>
                <w:szCs w:val="21"/>
              </w:rPr>
              <w:t>评审项目</w:t>
            </w:r>
          </w:p>
        </w:tc>
        <w:tc>
          <w:tcPr>
            <w:tcW w:w="600" w:type="dxa"/>
            <w:tcBorders>
              <w:top w:val="single" w:color="auto" w:sz="4" w:space="0"/>
              <w:left w:val="single" w:color="auto" w:sz="4" w:space="0"/>
              <w:bottom w:val="single" w:color="auto" w:sz="4" w:space="0"/>
              <w:right w:val="single" w:color="auto" w:sz="4" w:space="0"/>
            </w:tcBorders>
            <w:shd w:val="clear" w:color="000000" w:fill="D9D9D9"/>
            <w:vAlign w:val="center"/>
          </w:tcPr>
          <w:p>
            <w:pPr>
              <w:jc w:val="center"/>
              <w:rPr>
                <w:rFonts w:ascii="宋体" w:hAnsi="宋体" w:cs="宋体"/>
                <w:b/>
                <w:szCs w:val="21"/>
              </w:rPr>
            </w:pPr>
            <w:r>
              <w:rPr>
                <w:rFonts w:hint="eastAsia" w:ascii="宋体" w:hAnsi="宋体" w:cs="宋体"/>
                <w:b/>
                <w:szCs w:val="21"/>
              </w:rPr>
              <w:t>分值</w:t>
            </w:r>
          </w:p>
        </w:tc>
        <w:tc>
          <w:tcPr>
            <w:tcW w:w="5478" w:type="dxa"/>
            <w:tcBorders>
              <w:top w:val="single" w:color="auto" w:sz="4" w:space="0"/>
              <w:left w:val="single" w:color="auto" w:sz="4" w:space="0"/>
              <w:bottom w:val="single" w:color="auto" w:sz="4" w:space="0"/>
              <w:right w:val="single" w:color="auto" w:sz="4" w:space="0"/>
            </w:tcBorders>
            <w:shd w:val="clear" w:color="000000" w:fill="D9D9D9"/>
            <w:vAlign w:val="center"/>
          </w:tcPr>
          <w:p>
            <w:pPr>
              <w:jc w:val="center"/>
              <w:rPr>
                <w:rFonts w:ascii="宋体" w:hAnsi="宋体" w:cs="宋体"/>
                <w:b/>
                <w:szCs w:val="21"/>
              </w:rPr>
            </w:pPr>
            <w:r>
              <w:rPr>
                <w:rFonts w:hint="eastAsia" w:ascii="宋体" w:hAnsi="宋体" w:cs="宋体"/>
                <w:b/>
                <w:bCs/>
                <w:szCs w:val="21"/>
              </w:rPr>
              <w:t>评议内容及评分</w:t>
            </w:r>
          </w:p>
        </w:tc>
        <w:tc>
          <w:tcPr>
            <w:tcW w:w="873" w:type="dxa"/>
            <w:tcBorders>
              <w:top w:val="single" w:color="auto" w:sz="4" w:space="0"/>
              <w:left w:val="single" w:color="auto" w:sz="4" w:space="0"/>
              <w:bottom w:val="single" w:color="auto" w:sz="4" w:space="0"/>
              <w:right w:val="single" w:color="auto" w:sz="4" w:space="0"/>
            </w:tcBorders>
            <w:shd w:val="clear" w:color="000000" w:fill="D9D9D9"/>
            <w:vAlign w:val="center"/>
          </w:tcPr>
          <w:p>
            <w:pPr>
              <w:jc w:val="center"/>
              <w:rPr>
                <w:rFonts w:ascii="宋体" w:hAnsi="宋体" w:cs="宋体"/>
                <w:b/>
                <w:bCs/>
                <w:szCs w:val="21"/>
              </w:rPr>
            </w:pPr>
            <w:r>
              <w:rPr>
                <w:rFonts w:hint="eastAsia" w:ascii="宋体" w:hAnsi="宋体" w:cs="宋体"/>
                <w:b/>
                <w:bCs/>
                <w:szCs w:val="21"/>
              </w:rPr>
              <w:t>供应商（...）</w:t>
            </w: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57" w:type="dxa"/>
            <w:bottom w:w="0" w:type="dxa"/>
            <w:right w:w="57" w:type="dxa"/>
          </w:tblCellMar>
        </w:tblPrEx>
        <w:trPr>
          <w:trHeight w:val="887"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szCs w:val="21"/>
              </w:rPr>
            </w:pPr>
            <w:r>
              <w:rPr>
                <w:rFonts w:hint="eastAsia" w:ascii="宋体" w:hAnsi="宋体" w:cs="宋体"/>
                <w:szCs w:val="21"/>
              </w:rPr>
              <w:t>1</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Cs w:val="21"/>
              </w:rPr>
            </w:pPr>
            <w:r>
              <w:rPr>
                <w:rFonts w:hint="eastAsia" w:ascii="宋体" w:hAnsi="宋体" w:cs="宋体"/>
                <w:szCs w:val="21"/>
              </w:rPr>
              <w:t>企业信用</w:t>
            </w:r>
          </w:p>
        </w:tc>
        <w:tc>
          <w:tcPr>
            <w:tcW w:w="600" w:type="dxa"/>
            <w:tcBorders>
              <w:top w:val="single" w:color="auto" w:sz="4" w:space="0"/>
              <w:left w:val="single" w:color="auto" w:sz="4" w:space="0"/>
              <w:bottom w:val="single" w:color="auto" w:sz="4" w:space="0"/>
              <w:right w:val="single" w:color="auto" w:sz="4" w:space="0"/>
            </w:tcBorders>
            <w:vAlign w:val="center"/>
          </w:tcPr>
          <w:p>
            <w:pPr>
              <w:ind w:left="105" w:hanging="105"/>
              <w:jc w:val="center"/>
              <w:textAlignment w:val="center"/>
              <w:rPr>
                <w:rFonts w:ascii="宋体" w:hAnsi="宋体" w:cs="宋体"/>
                <w:szCs w:val="21"/>
              </w:rPr>
            </w:pPr>
            <w:r>
              <w:rPr>
                <w:rFonts w:hint="eastAsia" w:ascii="宋体" w:hAnsi="宋体" w:cs="宋体"/>
                <w:szCs w:val="21"/>
              </w:rPr>
              <w:t>5</w:t>
            </w:r>
          </w:p>
        </w:tc>
        <w:tc>
          <w:tcPr>
            <w:tcW w:w="54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供应商提供由中国人民银行或合法第三方信用服务机构出具的企业信用报告或信用记录，得5分，不提供不得分。</w:t>
            </w:r>
          </w:p>
          <w:p>
            <w:pPr>
              <w:rPr>
                <w:rFonts w:ascii="宋体" w:hAnsi="宋体" w:cs="宋体"/>
                <w:b/>
                <w:bCs/>
                <w:szCs w:val="21"/>
              </w:rPr>
            </w:pPr>
            <w:r>
              <w:rPr>
                <w:rFonts w:hint="eastAsia" w:ascii="宋体" w:hAnsi="宋体" w:cs="宋体"/>
                <w:b/>
                <w:bCs/>
                <w:szCs w:val="21"/>
              </w:rPr>
              <w:t>注：（1）响应文件中提供信用报告或信用记录复印件加盖供应商公章。</w:t>
            </w:r>
          </w:p>
          <w:p>
            <w:pPr>
              <w:rPr>
                <w:rFonts w:ascii="宋体" w:hAnsi="宋体" w:cs="宋体"/>
                <w:szCs w:val="21"/>
              </w:rPr>
            </w:pPr>
            <w:r>
              <w:rPr>
                <w:rFonts w:hint="eastAsia" w:ascii="宋体" w:hAnsi="宋体" w:cs="宋体"/>
                <w:b/>
                <w:bCs/>
                <w:szCs w:val="21"/>
              </w:rPr>
              <w:t xml:space="preserve">（2）如为第三方信用服务机构出具的企业信用报告或信用记录，须提供该机构在中国人民银行的备案证明资料，没有提供备案证明资料不得分，备案证明资料可为复印件加盖供应商公章或者原件。 </w:t>
            </w:r>
          </w:p>
        </w:tc>
        <w:tc>
          <w:tcPr>
            <w:tcW w:w="873"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szCs w:val="21"/>
              </w:rPr>
            </w:pP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57" w:type="dxa"/>
            <w:bottom w:w="0" w:type="dxa"/>
            <w:right w:w="57" w:type="dxa"/>
          </w:tblCellMar>
        </w:tblPrEx>
        <w:trPr>
          <w:trHeight w:val="887"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szCs w:val="21"/>
              </w:rPr>
            </w:pPr>
            <w:r>
              <w:rPr>
                <w:rFonts w:hint="eastAsia" w:ascii="宋体" w:hAnsi="宋体" w:cs="宋体"/>
                <w:szCs w:val="21"/>
              </w:rPr>
              <w:t>2</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Cs w:val="21"/>
              </w:rPr>
            </w:pPr>
            <w:r>
              <w:rPr>
                <w:rFonts w:hint="eastAsia" w:ascii="宋体" w:hAnsi="宋体" w:cs="宋体"/>
                <w:szCs w:val="21"/>
              </w:rPr>
              <w:t>业绩经验</w:t>
            </w:r>
          </w:p>
        </w:tc>
        <w:tc>
          <w:tcPr>
            <w:tcW w:w="600" w:type="dxa"/>
            <w:tcBorders>
              <w:top w:val="single" w:color="auto" w:sz="4" w:space="0"/>
              <w:left w:val="single" w:color="auto" w:sz="4" w:space="0"/>
              <w:bottom w:val="single" w:color="auto" w:sz="4" w:space="0"/>
              <w:right w:val="single" w:color="auto" w:sz="4" w:space="0"/>
            </w:tcBorders>
            <w:vAlign w:val="center"/>
          </w:tcPr>
          <w:p>
            <w:pPr>
              <w:ind w:left="105" w:hanging="105"/>
              <w:jc w:val="center"/>
              <w:textAlignment w:val="center"/>
              <w:rPr>
                <w:rFonts w:ascii="宋体" w:hAnsi="宋体" w:cs="宋体"/>
                <w:szCs w:val="21"/>
              </w:rPr>
            </w:pPr>
            <w:r>
              <w:rPr>
                <w:rFonts w:hint="eastAsia" w:ascii="宋体" w:hAnsi="宋体" w:cs="宋体"/>
                <w:szCs w:val="21"/>
              </w:rPr>
              <w:t>5</w:t>
            </w:r>
          </w:p>
        </w:tc>
        <w:tc>
          <w:tcPr>
            <w:tcW w:w="54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供应商自2019年至今（以合同签订时间为准）承接同类业绩，每提供一项得0.5分，最高得5分。</w:t>
            </w:r>
          </w:p>
          <w:p>
            <w:pPr>
              <w:rPr>
                <w:rFonts w:ascii="宋体" w:hAnsi="宋体" w:cs="宋体"/>
                <w:szCs w:val="21"/>
              </w:rPr>
            </w:pPr>
            <w:r>
              <w:rPr>
                <w:rFonts w:hint="eastAsia" w:ascii="宋体" w:hAnsi="宋体" w:cs="宋体"/>
                <w:b/>
                <w:bCs/>
                <w:szCs w:val="21"/>
              </w:rPr>
              <w:t>注：响应文件中提供合同复印件加盖供应商公章，</w:t>
            </w:r>
            <w:r>
              <w:rPr>
                <w:rFonts w:hint="eastAsia" w:ascii="宋体" w:hAnsi="宋体" w:cs="宋体"/>
                <w:b/>
                <w:szCs w:val="21"/>
              </w:rPr>
              <w:t>未提供不得分。</w:t>
            </w:r>
          </w:p>
        </w:tc>
        <w:tc>
          <w:tcPr>
            <w:tcW w:w="873"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szCs w:val="21"/>
              </w:rPr>
            </w:pP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57" w:type="dxa"/>
            <w:bottom w:w="0" w:type="dxa"/>
            <w:right w:w="57" w:type="dxa"/>
          </w:tblCellMar>
        </w:tblPrEx>
        <w:trPr>
          <w:trHeight w:val="1489"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szCs w:val="21"/>
              </w:rPr>
            </w:pPr>
            <w:r>
              <w:rPr>
                <w:rFonts w:hint="eastAsia" w:ascii="宋体" w:hAnsi="宋体" w:cs="宋体"/>
                <w:szCs w:val="21"/>
              </w:rPr>
              <w:t>3</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Cs w:val="21"/>
              </w:rPr>
            </w:pPr>
            <w:r>
              <w:rPr>
                <w:rFonts w:hint="eastAsia" w:ascii="宋体" w:hAnsi="宋体" w:cs="宋体"/>
                <w:szCs w:val="21"/>
              </w:rPr>
              <w:t>项目实施方案</w:t>
            </w:r>
          </w:p>
        </w:tc>
        <w:tc>
          <w:tcPr>
            <w:tcW w:w="600" w:type="dxa"/>
            <w:tcBorders>
              <w:top w:val="single" w:color="auto" w:sz="4" w:space="0"/>
              <w:left w:val="single" w:color="auto" w:sz="4" w:space="0"/>
              <w:bottom w:val="single" w:color="auto" w:sz="4" w:space="0"/>
              <w:right w:val="single" w:color="auto" w:sz="4" w:space="0"/>
            </w:tcBorders>
            <w:vAlign w:val="center"/>
          </w:tcPr>
          <w:p>
            <w:pPr>
              <w:ind w:left="105" w:hanging="105"/>
              <w:jc w:val="center"/>
              <w:textAlignment w:val="center"/>
              <w:rPr>
                <w:rFonts w:ascii="宋体" w:hAnsi="宋体" w:cs="宋体"/>
                <w:szCs w:val="21"/>
              </w:rPr>
            </w:pPr>
            <w:r>
              <w:rPr>
                <w:rFonts w:hint="eastAsia" w:ascii="宋体" w:hAnsi="宋体" w:cs="宋体"/>
                <w:szCs w:val="21"/>
              </w:rPr>
              <w:t>10</w:t>
            </w:r>
          </w:p>
        </w:tc>
        <w:tc>
          <w:tcPr>
            <w:tcW w:w="54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综合对比各供应商提供的实施方案的合理性、可靠性，内容包含但不限于：供货方案、进度安排、验收等。</w:t>
            </w:r>
          </w:p>
          <w:p>
            <w:pPr>
              <w:rPr>
                <w:rFonts w:ascii="宋体" w:hAnsi="宋体" w:cs="宋体"/>
                <w:szCs w:val="21"/>
              </w:rPr>
            </w:pPr>
            <w:r>
              <w:rPr>
                <w:rFonts w:hint="eastAsia" w:ascii="宋体" w:hAnsi="宋体" w:cs="宋体"/>
                <w:szCs w:val="21"/>
              </w:rPr>
              <w:t>优秀：得10分；良好：得7分；中：得4分；差：得1分；未提供得0分。</w:t>
            </w:r>
          </w:p>
        </w:tc>
        <w:tc>
          <w:tcPr>
            <w:tcW w:w="873"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szCs w:val="21"/>
              </w:rPr>
            </w:pP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57" w:type="dxa"/>
            <w:bottom w:w="0" w:type="dxa"/>
            <w:right w:w="57" w:type="dxa"/>
          </w:tblCellMar>
        </w:tblPrEx>
        <w:trPr>
          <w:trHeight w:val="633"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szCs w:val="21"/>
              </w:rPr>
            </w:pPr>
            <w:r>
              <w:rPr>
                <w:rFonts w:hint="eastAsia" w:ascii="宋体" w:hAnsi="宋体" w:cs="宋体"/>
                <w:szCs w:val="21"/>
              </w:rPr>
              <w:t>4</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Cs w:val="21"/>
              </w:rPr>
            </w:pPr>
            <w:r>
              <w:rPr>
                <w:rFonts w:hint="eastAsia" w:ascii="宋体" w:hAnsi="宋体" w:cs="宋体"/>
                <w:szCs w:val="21"/>
              </w:rPr>
              <w:t>配送服务方案</w:t>
            </w:r>
          </w:p>
        </w:tc>
        <w:tc>
          <w:tcPr>
            <w:tcW w:w="600" w:type="dxa"/>
            <w:tcBorders>
              <w:top w:val="single" w:color="auto" w:sz="4" w:space="0"/>
              <w:left w:val="single" w:color="auto" w:sz="4" w:space="0"/>
              <w:bottom w:val="single" w:color="auto" w:sz="4" w:space="0"/>
              <w:right w:val="single" w:color="auto" w:sz="4" w:space="0"/>
            </w:tcBorders>
            <w:vAlign w:val="center"/>
          </w:tcPr>
          <w:p>
            <w:pPr>
              <w:ind w:left="105" w:hanging="105"/>
              <w:jc w:val="center"/>
              <w:textAlignment w:val="center"/>
              <w:rPr>
                <w:rFonts w:ascii="宋体" w:hAnsi="宋体" w:cs="宋体"/>
                <w:szCs w:val="21"/>
              </w:rPr>
            </w:pPr>
            <w:r>
              <w:rPr>
                <w:rFonts w:hint="eastAsia" w:ascii="宋体" w:hAnsi="宋体" w:cs="宋体"/>
                <w:szCs w:val="21"/>
              </w:rPr>
              <w:t>10</w:t>
            </w:r>
          </w:p>
        </w:tc>
        <w:tc>
          <w:tcPr>
            <w:tcW w:w="547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cs="宋体"/>
                <w:szCs w:val="21"/>
              </w:rPr>
            </w:pPr>
            <w:r>
              <w:rPr>
                <w:rFonts w:hint="eastAsia" w:ascii="宋体" w:hAnsi="宋体" w:cs="宋体"/>
                <w:szCs w:val="21"/>
              </w:rPr>
              <w:t>综合对比各供应商提供的配送服务方案的合理性、可靠性，内容包含但不限于：投入本项目的人员、配送时间、响应速度等。</w:t>
            </w:r>
          </w:p>
          <w:p>
            <w:pPr>
              <w:textAlignment w:val="center"/>
              <w:rPr>
                <w:rFonts w:ascii="宋体" w:hAnsi="宋体" w:cs="宋体"/>
                <w:szCs w:val="21"/>
              </w:rPr>
            </w:pPr>
            <w:r>
              <w:rPr>
                <w:rFonts w:hint="eastAsia" w:ascii="宋体" w:hAnsi="宋体" w:cs="宋体"/>
                <w:szCs w:val="21"/>
              </w:rPr>
              <w:t>优秀：得10分；良好：得7分；中：得4分；差：得1分；未提供得0分。</w:t>
            </w:r>
          </w:p>
        </w:tc>
        <w:tc>
          <w:tcPr>
            <w:tcW w:w="873"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szCs w:val="21"/>
              </w:rPr>
            </w:pP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57" w:type="dxa"/>
            <w:bottom w:w="0" w:type="dxa"/>
            <w:right w:w="57" w:type="dxa"/>
          </w:tblCellMar>
        </w:tblPrEx>
        <w:trPr>
          <w:trHeight w:val="1198"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szCs w:val="21"/>
              </w:rPr>
            </w:pPr>
            <w:r>
              <w:rPr>
                <w:rFonts w:hint="eastAsia" w:ascii="宋体" w:hAnsi="宋体" w:cs="宋体"/>
                <w:szCs w:val="21"/>
              </w:rPr>
              <w:t>5</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应急保障方案</w:t>
            </w:r>
          </w:p>
        </w:tc>
        <w:tc>
          <w:tcPr>
            <w:tcW w:w="600"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szCs w:val="21"/>
              </w:rPr>
            </w:pPr>
            <w:r>
              <w:rPr>
                <w:rFonts w:hint="eastAsia" w:ascii="宋体" w:hAnsi="宋体" w:cs="宋体"/>
                <w:szCs w:val="21"/>
              </w:rPr>
              <w:t>5</w:t>
            </w:r>
          </w:p>
        </w:tc>
        <w:tc>
          <w:tcPr>
            <w:tcW w:w="54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根据各供应商提供的非正常情况或突发情况下的应急保障方案进行综合评价。</w:t>
            </w:r>
          </w:p>
          <w:p>
            <w:pPr>
              <w:rPr>
                <w:rFonts w:ascii="宋体" w:hAnsi="宋体" w:cs="宋体"/>
                <w:szCs w:val="21"/>
              </w:rPr>
            </w:pPr>
            <w:r>
              <w:rPr>
                <w:rFonts w:hint="eastAsia" w:ascii="宋体" w:hAnsi="宋体" w:cs="宋体"/>
                <w:szCs w:val="21"/>
              </w:rPr>
              <w:t>优秀：得5分；良好：得4分；中：得2分；差：得1分；未提供得0分。</w:t>
            </w:r>
          </w:p>
        </w:tc>
        <w:tc>
          <w:tcPr>
            <w:tcW w:w="873"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szCs w:val="21"/>
              </w:rPr>
            </w:pP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57" w:type="dxa"/>
            <w:bottom w:w="0" w:type="dxa"/>
            <w:right w:w="57" w:type="dxa"/>
          </w:tblCellMar>
        </w:tblPrEx>
        <w:trPr>
          <w:trHeight w:val="1198"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szCs w:val="21"/>
              </w:rPr>
            </w:pPr>
            <w:r>
              <w:rPr>
                <w:rFonts w:hint="eastAsia" w:ascii="宋体" w:hAnsi="宋体" w:cs="宋体"/>
                <w:szCs w:val="21"/>
              </w:rPr>
              <w:t>6</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用户需求书响应程度</w:t>
            </w:r>
          </w:p>
        </w:tc>
        <w:tc>
          <w:tcPr>
            <w:tcW w:w="600"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szCs w:val="21"/>
              </w:rPr>
            </w:pPr>
            <w:r>
              <w:rPr>
                <w:rFonts w:hint="eastAsia" w:ascii="宋体" w:hAnsi="宋体" w:cs="宋体"/>
                <w:szCs w:val="21"/>
              </w:rPr>
              <w:t>25</w:t>
            </w:r>
          </w:p>
        </w:tc>
        <w:tc>
          <w:tcPr>
            <w:tcW w:w="54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根据响应文件对用户需求书（即非“</w:t>
            </w:r>
            <w:r>
              <w:rPr>
                <w:rFonts w:hint="eastAsia" w:cs="宋体" w:asciiTheme="minorEastAsia" w:hAnsiTheme="minorEastAsia"/>
                <w:szCs w:val="21"/>
              </w:rPr>
              <w:t>★</w:t>
            </w:r>
            <w:r>
              <w:rPr>
                <w:rFonts w:hint="eastAsia" w:ascii="宋体" w:hAnsi="宋体" w:cs="宋体"/>
                <w:szCs w:val="21"/>
              </w:rPr>
              <w:t>”号条款）的响应程度进行评审，完全满足得25分。其中，带“</w:t>
            </w:r>
            <w:r>
              <w:rPr>
                <w:rFonts w:hint="eastAsia" w:cs="宋体" w:asciiTheme="minorEastAsia" w:hAnsiTheme="minorEastAsia"/>
                <w:szCs w:val="21"/>
              </w:rPr>
              <w:t>▲</w:t>
            </w:r>
            <w:r>
              <w:rPr>
                <w:rFonts w:hint="eastAsia" w:ascii="宋体" w:hAnsi="宋体" w:cs="宋体"/>
                <w:szCs w:val="21"/>
              </w:rPr>
              <w:t>”号参数为重要指标</w:t>
            </w:r>
            <w:bookmarkStart w:id="6" w:name="_GoBack"/>
            <w:bookmarkEnd w:id="6"/>
            <w:r>
              <w:rPr>
                <w:rFonts w:hint="eastAsia" w:ascii="宋体" w:hAnsi="宋体" w:cs="宋体"/>
                <w:szCs w:val="21"/>
              </w:rPr>
              <w:t>，一项不满足（负偏离）扣3分；非“</w:t>
            </w:r>
            <w:r>
              <w:rPr>
                <w:rFonts w:hint="eastAsia" w:cs="宋体" w:asciiTheme="minorEastAsia" w:hAnsiTheme="minorEastAsia"/>
                <w:szCs w:val="21"/>
              </w:rPr>
              <w:t>▲</w:t>
            </w:r>
            <w:r>
              <w:rPr>
                <w:rFonts w:hint="eastAsia" w:ascii="宋体" w:hAnsi="宋体" w:cs="宋体"/>
                <w:szCs w:val="21"/>
              </w:rPr>
              <w:t>”号参数（带</w:t>
            </w:r>
            <w:r>
              <w:rPr>
                <w:rFonts w:ascii="宋体" w:hAnsi="宋体" w:cs="宋体"/>
                <w:szCs w:val="21"/>
              </w:rPr>
              <w:t>“</w:t>
            </w:r>
            <w:r>
              <w:rPr>
                <w:rFonts w:cs="宋体" w:asciiTheme="minorEastAsia" w:hAnsiTheme="minorEastAsia"/>
                <w:szCs w:val="21"/>
              </w:rPr>
              <w:t>★号</w:t>
            </w:r>
            <w:r>
              <w:rPr>
                <w:rFonts w:ascii="宋体" w:hAnsi="宋体" w:cs="宋体"/>
                <w:szCs w:val="21"/>
              </w:rPr>
              <w:t>”项除外</w:t>
            </w:r>
            <w:r>
              <w:rPr>
                <w:rFonts w:hint="eastAsia" w:ascii="宋体" w:hAnsi="宋体" w:cs="宋体"/>
                <w:szCs w:val="21"/>
              </w:rPr>
              <w:t>）为一般性指标，一项不满足（负偏离）扣2分，扣完为止。</w:t>
            </w:r>
          </w:p>
          <w:p>
            <w:pPr>
              <w:rPr>
                <w:rFonts w:ascii="宋体" w:hAnsi="宋体" w:cs="宋体"/>
                <w:b/>
                <w:szCs w:val="21"/>
              </w:rPr>
            </w:pPr>
            <w:r>
              <w:rPr>
                <w:rFonts w:hint="eastAsia" w:ascii="宋体" w:hAnsi="宋体" w:cs="宋体"/>
                <w:b/>
                <w:szCs w:val="21"/>
              </w:rPr>
              <w:t>注：以“技术条款响应表”及应招标要求提供的相关证明材料作为评审依据。</w:t>
            </w:r>
          </w:p>
        </w:tc>
        <w:tc>
          <w:tcPr>
            <w:tcW w:w="873"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szCs w:val="21"/>
              </w:rPr>
            </w:pP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57" w:type="dxa"/>
            <w:bottom w:w="0" w:type="dxa"/>
            <w:right w:w="57" w:type="dxa"/>
          </w:tblCellMar>
        </w:tblPrEx>
        <w:trPr>
          <w:trHeight w:val="373" w:hRule="atLeast"/>
          <w:jc w:val="center"/>
        </w:trPr>
        <w:tc>
          <w:tcPr>
            <w:tcW w:w="1198" w:type="dxa"/>
            <w:gridSpan w:val="2"/>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b/>
                <w:szCs w:val="21"/>
              </w:rPr>
            </w:pPr>
            <w:r>
              <w:rPr>
                <w:rFonts w:hint="eastAsia" w:ascii="宋体" w:hAnsi="宋体" w:cs="宋体"/>
                <w:b/>
                <w:szCs w:val="21"/>
              </w:rPr>
              <w:t>合计</w:t>
            </w:r>
          </w:p>
        </w:tc>
        <w:tc>
          <w:tcPr>
            <w:tcW w:w="600"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b/>
                <w:szCs w:val="21"/>
              </w:rPr>
            </w:pPr>
            <w:r>
              <w:rPr>
                <w:rFonts w:hint="eastAsia" w:ascii="宋体" w:hAnsi="宋体" w:cs="宋体"/>
                <w:b/>
                <w:szCs w:val="21"/>
              </w:rPr>
              <w:t>60</w:t>
            </w:r>
          </w:p>
        </w:tc>
        <w:tc>
          <w:tcPr>
            <w:tcW w:w="5478"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b/>
                <w:szCs w:val="21"/>
              </w:rPr>
            </w:pPr>
            <w:r>
              <w:rPr>
                <w:rFonts w:hint="eastAsia" w:ascii="宋体" w:hAnsi="宋体" w:cs="宋体"/>
                <w:b/>
                <w:szCs w:val="21"/>
              </w:rPr>
              <w:t>得分合计</w:t>
            </w:r>
          </w:p>
        </w:tc>
        <w:tc>
          <w:tcPr>
            <w:tcW w:w="873"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szCs w:val="21"/>
              </w:rPr>
            </w:pP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57" w:type="dxa"/>
            <w:bottom w:w="0" w:type="dxa"/>
            <w:right w:w="57" w:type="dxa"/>
          </w:tblCellMar>
        </w:tblPrEx>
        <w:trPr>
          <w:trHeight w:val="373" w:hRule="atLeast"/>
          <w:jc w:val="center"/>
        </w:trPr>
        <w:tc>
          <w:tcPr>
            <w:tcW w:w="1198" w:type="dxa"/>
            <w:gridSpan w:val="2"/>
            <w:tcBorders>
              <w:top w:val="single" w:color="auto" w:sz="4" w:space="0"/>
              <w:left w:val="single" w:color="auto" w:sz="4" w:space="0"/>
              <w:bottom w:val="single" w:color="auto" w:sz="4" w:space="0"/>
              <w:right w:val="single" w:color="auto" w:sz="4" w:space="0"/>
            </w:tcBorders>
            <w:vAlign w:val="center"/>
          </w:tcPr>
          <w:p>
            <w:pPr>
              <w:ind w:left="105" w:hanging="105"/>
              <w:jc w:val="center"/>
              <w:rPr>
                <w:rFonts w:hint="eastAsia" w:ascii="宋体" w:hAnsi="宋体" w:cs="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hint="eastAsia" w:ascii="宋体" w:hAnsi="宋体" w:cs="宋体"/>
                <w:b/>
                <w:szCs w:val="21"/>
              </w:rPr>
            </w:pPr>
          </w:p>
        </w:tc>
        <w:tc>
          <w:tcPr>
            <w:tcW w:w="5478"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hint="eastAsia" w:ascii="宋体" w:hAnsi="宋体" w:cs="宋体"/>
                <w:b/>
                <w:szCs w:val="21"/>
              </w:rPr>
            </w:pPr>
          </w:p>
        </w:tc>
        <w:tc>
          <w:tcPr>
            <w:tcW w:w="873"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szCs w:val="21"/>
              </w:rPr>
            </w:pPr>
          </w:p>
        </w:tc>
      </w:tr>
    </w:tbl>
    <w:p/>
    <w:p>
      <w:r>
        <w:rPr>
          <w:rFonts w:hint="eastAsia"/>
        </w:rPr>
        <w:t>3、价格评审：</w:t>
      </w:r>
    </w:p>
    <w:tbl>
      <w:tblPr>
        <w:tblStyle w:val="14"/>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6"/>
        <w:gridCol w:w="668"/>
        <w:gridCol w:w="614"/>
        <w:gridCol w:w="5536"/>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6" w:type="dxa"/>
            <w:shd w:val="clear" w:color="auto" w:fill="D7D7D7"/>
            <w:vAlign w:val="center"/>
          </w:tcPr>
          <w:p>
            <w:pPr>
              <w:jc w:val="center"/>
              <w:rPr>
                <w:rFonts w:ascii="宋体" w:hAnsi="宋体" w:cs="宋体"/>
                <w:b/>
                <w:szCs w:val="21"/>
              </w:rPr>
            </w:pPr>
            <w:r>
              <w:rPr>
                <w:rFonts w:hint="eastAsia" w:ascii="宋体" w:hAnsi="宋体" w:cs="宋体"/>
                <w:b/>
                <w:szCs w:val="21"/>
              </w:rPr>
              <w:t>序号</w:t>
            </w:r>
          </w:p>
        </w:tc>
        <w:tc>
          <w:tcPr>
            <w:tcW w:w="668" w:type="dxa"/>
            <w:shd w:val="clear" w:color="auto" w:fill="D7D7D7"/>
            <w:vAlign w:val="center"/>
          </w:tcPr>
          <w:p>
            <w:pPr>
              <w:jc w:val="center"/>
              <w:rPr>
                <w:rFonts w:ascii="宋体" w:hAnsi="宋体" w:cs="宋体"/>
                <w:b/>
                <w:szCs w:val="21"/>
              </w:rPr>
            </w:pPr>
            <w:r>
              <w:rPr>
                <w:rFonts w:hint="eastAsia" w:ascii="宋体" w:hAnsi="宋体" w:cs="宋体"/>
                <w:b/>
                <w:szCs w:val="21"/>
              </w:rPr>
              <w:t>评分项目</w:t>
            </w:r>
          </w:p>
        </w:tc>
        <w:tc>
          <w:tcPr>
            <w:tcW w:w="614" w:type="dxa"/>
            <w:shd w:val="clear" w:color="auto" w:fill="D7D7D7"/>
            <w:vAlign w:val="center"/>
          </w:tcPr>
          <w:p>
            <w:pPr>
              <w:jc w:val="center"/>
              <w:rPr>
                <w:rFonts w:ascii="宋体" w:hAnsi="宋体" w:cs="宋体"/>
                <w:b/>
                <w:szCs w:val="21"/>
              </w:rPr>
            </w:pPr>
            <w:r>
              <w:rPr>
                <w:rFonts w:hint="eastAsia" w:ascii="宋体" w:hAnsi="宋体" w:cs="宋体"/>
                <w:b/>
                <w:szCs w:val="21"/>
              </w:rPr>
              <w:t>分值</w:t>
            </w:r>
          </w:p>
        </w:tc>
        <w:tc>
          <w:tcPr>
            <w:tcW w:w="5536" w:type="dxa"/>
            <w:shd w:val="clear" w:color="auto" w:fill="D7D7D7"/>
            <w:vAlign w:val="center"/>
          </w:tcPr>
          <w:p>
            <w:pPr>
              <w:jc w:val="center"/>
              <w:rPr>
                <w:rFonts w:ascii="宋体" w:hAnsi="宋体" w:cs="宋体"/>
                <w:b/>
                <w:szCs w:val="21"/>
              </w:rPr>
            </w:pPr>
            <w:r>
              <w:rPr>
                <w:rFonts w:hint="eastAsia" w:ascii="宋体" w:hAnsi="宋体" w:cs="宋体"/>
                <w:b/>
                <w:szCs w:val="21"/>
              </w:rPr>
              <w:t>评分</w:t>
            </w:r>
          </w:p>
        </w:tc>
        <w:tc>
          <w:tcPr>
            <w:tcW w:w="873" w:type="dxa"/>
            <w:shd w:val="clear" w:color="auto" w:fill="D7D7D7"/>
            <w:vAlign w:val="center"/>
          </w:tcPr>
          <w:p>
            <w:pPr>
              <w:jc w:val="center"/>
              <w:rPr>
                <w:rFonts w:ascii="宋体" w:hAnsi="宋体" w:cs="宋体"/>
                <w:b/>
                <w:bCs/>
                <w:szCs w:val="21"/>
              </w:rPr>
            </w:pPr>
            <w:r>
              <w:rPr>
                <w:rFonts w:hint="eastAsia" w:ascii="宋体" w:hAnsi="宋体" w:cs="宋体"/>
                <w:b/>
                <w:bCs/>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1" w:hRule="atLeast"/>
          <w:jc w:val="center"/>
        </w:trPr>
        <w:tc>
          <w:tcPr>
            <w:tcW w:w="546" w:type="dxa"/>
            <w:vAlign w:val="center"/>
          </w:tcPr>
          <w:p>
            <w:pPr>
              <w:ind w:left="105" w:hanging="105"/>
              <w:jc w:val="center"/>
              <w:rPr>
                <w:rFonts w:ascii="宋体" w:hAnsi="宋体" w:cs="宋体"/>
                <w:szCs w:val="21"/>
              </w:rPr>
            </w:pPr>
            <w:r>
              <w:rPr>
                <w:rFonts w:hint="eastAsia" w:ascii="宋体" w:hAnsi="宋体" w:cs="宋体"/>
                <w:szCs w:val="21"/>
              </w:rPr>
              <w:t>1</w:t>
            </w:r>
          </w:p>
        </w:tc>
        <w:tc>
          <w:tcPr>
            <w:tcW w:w="668" w:type="dxa"/>
            <w:vAlign w:val="center"/>
          </w:tcPr>
          <w:p>
            <w:pPr>
              <w:jc w:val="center"/>
              <w:rPr>
                <w:rFonts w:ascii="宋体" w:hAnsi="宋体" w:cs="宋体"/>
                <w:szCs w:val="21"/>
              </w:rPr>
            </w:pPr>
            <w:r>
              <w:rPr>
                <w:rFonts w:hint="eastAsia" w:ascii="宋体" w:hAnsi="宋体" w:cs="宋体"/>
                <w:szCs w:val="21"/>
              </w:rPr>
              <w:t>报价要求</w:t>
            </w:r>
          </w:p>
        </w:tc>
        <w:tc>
          <w:tcPr>
            <w:tcW w:w="614" w:type="dxa"/>
            <w:vAlign w:val="center"/>
          </w:tcPr>
          <w:p>
            <w:pPr>
              <w:ind w:left="105" w:hanging="105"/>
              <w:jc w:val="center"/>
              <w:rPr>
                <w:rFonts w:ascii="宋体" w:hAnsi="宋体" w:cs="宋体"/>
                <w:szCs w:val="21"/>
              </w:rPr>
            </w:pPr>
            <w:r>
              <w:rPr>
                <w:rFonts w:hint="eastAsia" w:ascii="宋体" w:hAnsi="宋体" w:cs="宋体"/>
                <w:szCs w:val="21"/>
              </w:rPr>
              <w:t>40</w:t>
            </w:r>
          </w:p>
        </w:tc>
        <w:tc>
          <w:tcPr>
            <w:tcW w:w="5536" w:type="dxa"/>
          </w:tcPr>
          <w:p>
            <w:pPr>
              <w:widowControl/>
              <w:rPr>
                <w:rFonts w:ascii="宋体" w:hAnsi="宋体" w:cs="宋体"/>
                <w:b/>
                <w:szCs w:val="21"/>
              </w:rPr>
            </w:pPr>
            <w:r>
              <w:rPr>
                <w:rFonts w:hint="eastAsia" w:ascii="宋体" w:hAnsi="宋体"/>
                <w:szCs w:val="21"/>
              </w:rPr>
              <w:t>磋商报价得分（精确到小数点后2位）</w:t>
            </w:r>
            <w:r>
              <w:rPr>
                <w:rFonts w:ascii="宋体" w:hAnsi="宋体"/>
                <w:szCs w:val="21"/>
              </w:rPr>
              <w:t>=(</w:t>
            </w:r>
            <w:r>
              <w:rPr>
                <w:rFonts w:hint="eastAsia" w:ascii="宋体" w:hAnsi="宋体"/>
                <w:szCs w:val="21"/>
              </w:rPr>
              <w:t>磋商基准价／最后磋商报价</w:t>
            </w:r>
            <w:r>
              <w:rPr>
                <w:rFonts w:ascii="宋体" w:hAnsi="宋体"/>
                <w:szCs w:val="21"/>
              </w:rPr>
              <w:t>)</w:t>
            </w:r>
            <w:r>
              <w:rPr>
                <w:rFonts w:hint="eastAsia" w:ascii="宋体" w:hAnsi="宋体"/>
                <w:szCs w:val="21"/>
              </w:rPr>
              <w:t>×40</w:t>
            </w:r>
            <w:r>
              <w:rPr>
                <w:rFonts w:hint="eastAsia" w:ascii="宋体" w:hAnsi="宋体"/>
                <w:b/>
                <w:szCs w:val="21"/>
              </w:rPr>
              <w:t>【注：满足招标文件要求且XXXX为报价下浮率最高（相当于投标的价格最低）的为评标基准价。如：投标报价XXXX 8%为下浮率最高，评标基准价为1-8%=92%，磋商报价得分=（1-8%）/（1-8%）×40=40，得满分40分；有投标报价下浮率为5%，磋商报价得分=（1-8%）/（1-5%）×40=38.74；以此类推】</w:t>
            </w:r>
          </w:p>
        </w:tc>
        <w:tc>
          <w:tcPr>
            <w:tcW w:w="873" w:type="dxa"/>
          </w:tcPr>
          <w:p>
            <w:pPr>
              <w:ind w:left="105" w:hanging="105"/>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7" w:hRule="atLeast"/>
          <w:jc w:val="center"/>
        </w:trPr>
        <w:tc>
          <w:tcPr>
            <w:tcW w:w="1214" w:type="dxa"/>
            <w:gridSpan w:val="2"/>
          </w:tcPr>
          <w:p>
            <w:pPr>
              <w:ind w:left="105" w:hanging="105"/>
              <w:jc w:val="center"/>
              <w:rPr>
                <w:rFonts w:ascii="宋体" w:hAnsi="宋体" w:cs="宋体"/>
                <w:b/>
                <w:szCs w:val="21"/>
              </w:rPr>
            </w:pPr>
            <w:r>
              <w:rPr>
                <w:rFonts w:hint="eastAsia" w:ascii="宋体" w:hAnsi="宋体" w:cs="宋体"/>
                <w:b/>
                <w:szCs w:val="21"/>
              </w:rPr>
              <w:t>合计</w:t>
            </w:r>
          </w:p>
        </w:tc>
        <w:tc>
          <w:tcPr>
            <w:tcW w:w="614" w:type="dxa"/>
          </w:tcPr>
          <w:p>
            <w:pPr>
              <w:ind w:left="105" w:hanging="105"/>
              <w:jc w:val="center"/>
              <w:rPr>
                <w:rFonts w:ascii="宋体" w:hAnsi="宋体" w:cs="宋体"/>
                <w:b/>
                <w:szCs w:val="21"/>
              </w:rPr>
            </w:pPr>
            <w:r>
              <w:rPr>
                <w:rFonts w:hint="eastAsia" w:ascii="宋体" w:hAnsi="宋体" w:cs="宋体"/>
                <w:b/>
                <w:szCs w:val="21"/>
              </w:rPr>
              <w:t>40</w:t>
            </w:r>
          </w:p>
        </w:tc>
        <w:tc>
          <w:tcPr>
            <w:tcW w:w="5536" w:type="dxa"/>
          </w:tcPr>
          <w:p>
            <w:pPr>
              <w:ind w:left="105" w:hanging="105"/>
              <w:jc w:val="center"/>
              <w:rPr>
                <w:rFonts w:ascii="宋体" w:hAnsi="宋体" w:cs="宋体"/>
                <w:b/>
                <w:szCs w:val="21"/>
              </w:rPr>
            </w:pPr>
            <w:r>
              <w:rPr>
                <w:rFonts w:hint="eastAsia" w:ascii="宋体" w:hAnsi="宋体" w:cs="宋体"/>
                <w:b/>
                <w:szCs w:val="21"/>
              </w:rPr>
              <w:t>得分合计</w:t>
            </w:r>
          </w:p>
        </w:tc>
        <w:tc>
          <w:tcPr>
            <w:tcW w:w="873" w:type="dxa"/>
          </w:tcPr>
          <w:p>
            <w:pPr>
              <w:spacing w:beforeLines="30"/>
              <w:ind w:left="120" w:hanging="120"/>
              <w:jc w:val="center"/>
              <w:rPr>
                <w:rFonts w:ascii="宋体" w:hAnsi="宋体" w:cs="宋体"/>
                <w:b/>
                <w:bCs/>
                <w:sz w:val="24"/>
              </w:rPr>
            </w:pPr>
          </w:p>
        </w:tc>
      </w:tr>
    </w:tbl>
    <w:p/>
    <w:p>
      <w:pPr>
        <w:rPr>
          <w:rFonts w:hint="eastAsia"/>
        </w:rPr>
      </w:pPr>
    </w:p>
    <w:p>
      <w:pPr>
        <w:pStyle w:val="4"/>
        <w:bidi w:val="0"/>
        <w:jc w:val="center"/>
        <w:rPr>
          <w:rFonts w:hint="eastAsia" w:ascii="宋体" w:hAnsi="宋体" w:eastAsia="宋体" w:cs="宋体"/>
          <w:color w:val="auto"/>
          <w:highlight w:val="none"/>
        </w:rPr>
      </w:pPr>
    </w:p>
    <w:p>
      <w:pPr>
        <w:pStyle w:val="4"/>
        <w:bidi w:val="0"/>
        <w:jc w:val="center"/>
        <w:rPr>
          <w:rFonts w:hint="eastAsia" w:ascii="宋体" w:hAnsi="宋体" w:eastAsia="宋体" w:cs="宋体"/>
          <w:color w:val="auto"/>
          <w:highlight w:val="none"/>
        </w:rPr>
      </w:pPr>
    </w:p>
    <w:p>
      <w:pPr>
        <w:pStyle w:val="4"/>
        <w:bidi w:val="0"/>
        <w:jc w:val="cente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rPr>
      </w:pPr>
    </w:p>
    <w:p>
      <w:pPr>
        <w:pStyle w:val="4"/>
        <w:numPr>
          <w:ilvl w:val="0"/>
          <w:numId w:val="15"/>
        </w:numPr>
        <w:bidi w:val="0"/>
        <w:ind w:left="0" w:leftChars="0" w:firstLine="0" w:firstLineChars="0"/>
        <w:jc w:val="center"/>
        <w:rPr>
          <w:rFonts w:hint="eastAsia"/>
          <w:lang w:val="en-US" w:eastAsia="zh-CN"/>
        </w:rPr>
      </w:pPr>
      <w:bookmarkStart w:id="5" w:name="_Toc26271"/>
      <w:r>
        <w:rPr>
          <w:rFonts w:hint="eastAsia"/>
          <w:lang w:val="en-US" w:eastAsia="zh-CN"/>
        </w:rPr>
        <w:t>报价文件格式</w:t>
      </w:r>
      <w:bookmarkEnd w:id="5"/>
    </w:p>
    <w:p>
      <w:pPr>
        <w:widowControl w:val="0"/>
        <w:numPr>
          <w:ilvl w:val="0"/>
          <w:numId w:val="0"/>
        </w:numPr>
        <w:jc w:val="both"/>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7"/>
        <w:jc w:val="center"/>
        <w:rPr>
          <w:rFonts w:hint="default" w:hAnsi="宋体" w:eastAsia="宋体"/>
          <w:b/>
          <w:color w:val="auto"/>
          <w:sz w:val="96"/>
          <w:szCs w:val="96"/>
          <w:lang w:val="en-US" w:eastAsia="zh-CN"/>
        </w:rPr>
      </w:pPr>
      <w:r>
        <w:rPr>
          <w:rFonts w:hint="eastAsia" w:hAnsi="宋体"/>
          <w:b/>
          <w:color w:val="auto"/>
          <w:sz w:val="96"/>
          <w:szCs w:val="96"/>
          <w:lang w:val="en-US" w:eastAsia="zh-CN"/>
        </w:rPr>
        <w:t>报价文件</w:t>
      </w:r>
    </w:p>
    <w:p>
      <w:pPr>
        <w:pStyle w:val="7"/>
        <w:jc w:val="center"/>
        <w:rPr>
          <w:rFonts w:hAnsi="宋体"/>
          <w:b/>
          <w:color w:val="auto"/>
          <w:sz w:val="28"/>
          <w:szCs w:val="28"/>
        </w:rPr>
      </w:pPr>
    </w:p>
    <w:p>
      <w:pPr>
        <w:pStyle w:val="7"/>
        <w:jc w:val="both"/>
        <w:rPr>
          <w:rFonts w:hAnsi="宋体"/>
          <w:b/>
          <w:color w:val="auto"/>
          <w:sz w:val="28"/>
          <w:szCs w:val="28"/>
        </w:rPr>
      </w:pPr>
    </w:p>
    <w:p>
      <w:pPr>
        <w:pStyle w:val="7"/>
        <w:jc w:val="center"/>
        <w:rPr>
          <w:rFonts w:hAnsi="宋体"/>
          <w:b/>
          <w:color w:val="auto"/>
          <w:sz w:val="28"/>
          <w:szCs w:val="28"/>
        </w:rPr>
      </w:pPr>
    </w:p>
    <w:p>
      <w:pPr>
        <w:pStyle w:val="7"/>
        <w:jc w:val="center"/>
        <w:rPr>
          <w:rFonts w:hAnsi="宋体"/>
          <w:b/>
          <w:color w:val="auto"/>
          <w:sz w:val="28"/>
          <w:szCs w:val="28"/>
        </w:rPr>
      </w:pPr>
    </w:p>
    <w:p>
      <w:pPr>
        <w:pStyle w:val="7"/>
        <w:jc w:val="center"/>
        <w:rPr>
          <w:rFonts w:hAnsi="宋体"/>
          <w:b/>
          <w:color w:val="auto"/>
          <w:sz w:val="28"/>
          <w:szCs w:val="28"/>
        </w:rPr>
      </w:pPr>
    </w:p>
    <w:p>
      <w:pPr>
        <w:pStyle w:val="7"/>
        <w:jc w:val="center"/>
        <w:rPr>
          <w:rFonts w:hAnsi="宋体"/>
          <w:b/>
          <w:color w:val="auto"/>
          <w:sz w:val="28"/>
          <w:szCs w:val="28"/>
        </w:rPr>
      </w:pPr>
    </w:p>
    <w:p>
      <w:pPr>
        <w:pStyle w:val="7"/>
        <w:jc w:val="center"/>
        <w:rPr>
          <w:rFonts w:hAnsi="宋体"/>
          <w:b/>
          <w:color w:val="auto"/>
          <w:sz w:val="28"/>
          <w:szCs w:val="28"/>
        </w:rPr>
      </w:pPr>
    </w:p>
    <w:p>
      <w:pPr>
        <w:pStyle w:val="7"/>
        <w:jc w:val="center"/>
        <w:rPr>
          <w:rFonts w:hAnsi="宋体"/>
          <w:b/>
          <w:color w:val="auto"/>
          <w:sz w:val="28"/>
          <w:szCs w:val="28"/>
        </w:rPr>
      </w:pPr>
    </w:p>
    <w:p>
      <w:pPr>
        <w:pStyle w:val="7"/>
        <w:jc w:val="center"/>
        <w:rPr>
          <w:rFonts w:hAnsi="宋体"/>
          <w:b/>
          <w:color w:val="auto"/>
          <w:sz w:val="28"/>
          <w:szCs w:val="28"/>
        </w:rPr>
      </w:pPr>
    </w:p>
    <w:p>
      <w:pPr>
        <w:pStyle w:val="7"/>
        <w:jc w:val="both"/>
        <w:rPr>
          <w:rFonts w:hAnsi="宋体"/>
          <w:b/>
          <w:color w:val="auto"/>
          <w:sz w:val="28"/>
          <w:szCs w:val="28"/>
        </w:rPr>
      </w:pPr>
    </w:p>
    <w:p>
      <w:pPr>
        <w:pStyle w:val="7"/>
        <w:jc w:val="center"/>
        <w:rPr>
          <w:rFonts w:hAnsi="宋体"/>
          <w:b/>
          <w:color w:val="auto"/>
          <w:sz w:val="28"/>
          <w:szCs w:val="28"/>
        </w:rPr>
      </w:pPr>
    </w:p>
    <w:p>
      <w:pPr>
        <w:pStyle w:val="7"/>
        <w:jc w:val="center"/>
        <w:rPr>
          <w:rFonts w:hAnsi="宋体"/>
          <w:b/>
          <w:color w:val="auto"/>
          <w:sz w:val="28"/>
          <w:szCs w:val="28"/>
        </w:rPr>
      </w:pPr>
    </w:p>
    <w:p>
      <w:pPr>
        <w:pStyle w:val="7"/>
        <w:spacing w:line="360" w:lineRule="auto"/>
        <w:rPr>
          <w:rFonts w:hint="eastAsia" w:hAnsi="宋体" w:eastAsia="宋体"/>
          <w:b/>
          <w:color w:val="auto"/>
          <w:sz w:val="32"/>
          <w:szCs w:val="32"/>
          <w:u w:val="single"/>
          <w:lang w:eastAsia="zh-CN"/>
        </w:rPr>
      </w:pPr>
      <w:r>
        <w:rPr>
          <w:rFonts w:hint="eastAsia" w:hAnsi="宋体"/>
          <w:b/>
          <w:color w:val="auto"/>
          <w:sz w:val="32"/>
          <w:szCs w:val="32"/>
        </w:rPr>
        <w:t>项目编号：</w:t>
      </w:r>
    </w:p>
    <w:p>
      <w:pPr>
        <w:pStyle w:val="6"/>
        <w:spacing w:line="360" w:lineRule="auto"/>
        <w:ind w:firstLine="0" w:firstLineChars="0"/>
        <w:rPr>
          <w:rFonts w:hint="eastAsia" w:ascii="宋体" w:hAnsi="宋体" w:eastAsia="宋体"/>
          <w:b/>
          <w:color w:val="auto"/>
          <w:sz w:val="32"/>
          <w:szCs w:val="32"/>
          <w:u w:val="single"/>
          <w:lang w:eastAsia="zh-CN"/>
        </w:rPr>
      </w:pPr>
      <w:r>
        <w:rPr>
          <w:rFonts w:hint="eastAsia" w:ascii="宋体" w:hAnsi="宋体" w:eastAsia="宋体"/>
          <w:b/>
          <w:color w:val="auto"/>
          <w:sz w:val="32"/>
          <w:szCs w:val="32"/>
        </w:rPr>
        <w:t>项目名称：</w:t>
      </w:r>
    </w:p>
    <w:p>
      <w:pPr>
        <w:pStyle w:val="7"/>
        <w:ind w:firstLine="843" w:firstLineChars="300"/>
        <w:rPr>
          <w:rFonts w:hAnsi="宋体"/>
          <w:b/>
          <w:color w:val="auto"/>
          <w:sz w:val="28"/>
          <w:szCs w:val="28"/>
        </w:rPr>
      </w:pPr>
    </w:p>
    <w:p>
      <w:pPr>
        <w:pStyle w:val="7"/>
        <w:ind w:firstLine="843" w:firstLineChars="300"/>
        <w:rPr>
          <w:rFonts w:hAnsi="宋体"/>
          <w:b/>
          <w:color w:val="auto"/>
          <w:sz w:val="28"/>
          <w:szCs w:val="28"/>
        </w:rPr>
      </w:pPr>
    </w:p>
    <w:p>
      <w:pPr>
        <w:pStyle w:val="7"/>
        <w:ind w:firstLine="843" w:firstLineChars="300"/>
        <w:rPr>
          <w:rFonts w:hAnsi="宋体"/>
          <w:b/>
          <w:color w:val="auto"/>
          <w:sz w:val="28"/>
          <w:szCs w:val="28"/>
        </w:rPr>
      </w:pPr>
    </w:p>
    <w:p>
      <w:pPr>
        <w:pStyle w:val="7"/>
        <w:ind w:firstLine="843" w:firstLineChars="300"/>
        <w:rPr>
          <w:rFonts w:hAnsi="宋体"/>
          <w:b/>
          <w:color w:val="auto"/>
          <w:sz w:val="28"/>
          <w:szCs w:val="28"/>
        </w:rPr>
      </w:pPr>
    </w:p>
    <w:p>
      <w:pPr>
        <w:pStyle w:val="7"/>
        <w:spacing w:line="360" w:lineRule="auto"/>
        <w:jc w:val="center"/>
        <w:rPr>
          <w:rFonts w:hint="eastAsia" w:hAnsi="宋体"/>
          <w:b/>
          <w:color w:val="auto"/>
          <w:sz w:val="28"/>
          <w:szCs w:val="28"/>
        </w:rPr>
      </w:pPr>
      <w:r>
        <w:rPr>
          <w:rFonts w:hint="eastAsia" w:hAnsi="宋体"/>
          <w:b/>
          <w:color w:val="auto"/>
          <w:sz w:val="28"/>
          <w:szCs w:val="28"/>
        </w:rPr>
        <w:t>供应商名称：</w:t>
      </w:r>
    </w:p>
    <w:p>
      <w:pPr>
        <w:pStyle w:val="7"/>
        <w:spacing w:line="360" w:lineRule="auto"/>
        <w:jc w:val="center"/>
        <w:rPr>
          <w:rFonts w:hint="eastAsia" w:hAnsi="宋体"/>
          <w:b/>
          <w:color w:val="auto"/>
          <w:sz w:val="28"/>
          <w:szCs w:val="28"/>
          <w:lang w:val="en-US" w:eastAsia="zh-CN"/>
        </w:rPr>
      </w:pPr>
      <w:r>
        <w:rPr>
          <w:rFonts w:hint="eastAsia" w:hAnsi="宋体"/>
          <w:b/>
          <w:color w:val="auto"/>
          <w:sz w:val="28"/>
          <w:szCs w:val="28"/>
          <w:lang w:val="en-US" w:eastAsia="zh-CN"/>
        </w:rPr>
        <w:t>业务员代表：</w:t>
      </w:r>
    </w:p>
    <w:p>
      <w:pPr>
        <w:pStyle w:val="7"/>
        <w:spacing w:line="360" w:lineRule="auto"/>
        <w:jc w:val="center"/>
        <w:rPr>
          <w:rFonts w:hint="default" w:hAnsi="宋体"/>
          <w:b/>
          <w:color w:val="auto"/>
          <w:sz w:val="28"/>
          <w:szCs w:val="28"/>
          <w:lang w:val="en-US" w:eastAsia="zh-CN"/>
        </w:rPr>
      </w:pPr>
      <w:r>
        <w:rPr>
          <w:rFonts w:hint="eastAsia" w:hAnsi="宋体"/>
          <w:b/>
          <w:color w:val="auto"/>
          <w:sz w:val="28"/>
          <w:szCs w:val="28"/>
          <w:lang w:val="en-US" w:eastAsia="zh-CN"/>
        </w:rPr>
        <w:t>联系方式：</w:t>
      </w:r>
    </w:p>
    <w:p>
      <w:pPr>
        <w:pStyle w:val="7"/>
        <w:spacing w:line="360" w:lineRule="auto"/>
        <w:ind w:firstLine="3117" w:firstLineChars="1109"/>
        <w:jc w:val="center"/>
        <w:rPr>
          <w:rFonts w:hint="eastAsia" w:hAnsi="宋体"/>
          <w:b/>
          <w:color w:val="auto"/>
          <w:sz w:val="28"/>
          <w:szCs w:val="28"/>
        </w:rPr>
      </w:pPr>
    </w:p>
    <w:p>
      <w:pPr>
        <w:autoSpaceDE w:val="0"/>
        <w:autoSpaceDN w:val="0"/>
        <w:spacing w:line="240" w:lineRule="atLeast"/>
        <w:jc w:val="center"/>
        <w:rPr>
          <w:rFonts w:ascii="宋体" w:hAnsi="宋体"/>
          <w:b/>
          <w:color w:val="auto"/>
          <w:sz w:val="28"/>
          <w:szCs w:val="28"/>
          <w:u w:val="single"/>
        </w:rPr>
      </w:pPr>
      <w:r>
        <w:rPr>
          <w:rFonts w:hint="eastAsia" w:ascii="宋体" w:hAnsi="宋体"/>
          <w:b/>
          <w:color w:val="auto"/>
          <w:sz w:val="28"/>
          <w:szCs w:val="28"/>
        </w:rPr>
        <w:t>日期：</w:t>
      </w:r>
      <w:r>
        <w:rPr>
          <w:rFonts w:hint="eastAsia" w:ascii="宋体" w:hAnsi="宋体"/>
          <w:b/>
          <w:color w:val="auto"/>
          <w:sz w:val="28"/>
          <w:szCs w:val="28"/>
          <w:lang w:val="en-US" w:eastAsia="zh-CN"/>
        </w:rPr>
        <w:t xml:space="preserve">    </w:t>
      </w:r>
      <w:r>
        <w:rPr>
          <w:rFonts w:hint="eastAsia" w:ascii="宋体" w:hAnsi="宋体"/>
          <w:b/>
          <w:color w:val="auto"/>
          <w:sz w:val="28"/>
          <w:szCs w:val="28"/>
        </w:rPr>
        <w:t>年</w:t>
      </w:r>
      <w:r>
        <w:rPr>
          <w:rFonts w:hint="eastAsia" w:ascii="宋体" w:hAnsi="宋体"/>
          <w:b/>
          <w:color w:val="auto"/>
          <w:sz w:val="28"/>
          <w:szCs w:val="28"/>
          <w:lang w:val="en-US" w:eastAsia="zh-CN"/>
        </w:rPr>
        <w:t xml:space="preserve">  </w:t>
      </w:r>
      <w:r>
        <w:rPr>
          <w:rFonts w:hint="eastAsia" w:ascii="宋体" w:hAnsi="宋体"/>
          <w:b/>
          <w:color w:val="auto"/>
          <w:sz w:val="28"/>
          <w:szCs w:val="28"/>
        </w:rPr>
        <w:t>月</w:t>
      </w:r>
      <w:r>
        <w:rPr>
          <w:rFonts w:hint="eastAsia" w:ascii="宋体" w:hAnsi="宋体"/>
          <w:b/>
          <w:color w:val="auto"/>
          <w:sz w:val="28"/>
          <w:szCs w:val="28"/>
          <w:lang w:val="en-US" w:eastAsia="zh-CN"/>
        </w:rPr>
        <w:t xml:space="preserve">  </w:t>
      </w:r>
      <w:r>
        <w:rPr>
          <w:rFonts w:hint="eastAsia" w:ascii="宋体" w:hAnsi="宋体"/>
          <w:b/>
          <w:color w:val="auto"/>
          <w:sz w:val="28"/>
          <w:szCs w:val="28"/>
        </w:rPr>
        <w:t>日</w:t>
      </w:r>
    </w:p>
    <w:p>
      <w:pPr>
        <w:pStyle w:val="19"/>
        <w:rPr>
          <w:rFonts w:hint="eastAsia"/>
          <w:lang w:val="en-US" w:eastAsia="zh-CN"/>
        </w:rPr>
      </w:pPr>
    </w:p>
    <w:p>
      <w:pPr>
        <w:pStyle w:val="19"/>
        <w:rPr>
          <w:rFonts w:hint="eastAsia"/>
          <w:lang w:val="en-US" w:eastAsia="zh-CN"/>
        </w:rPr>
      </w:pPr>
    </w:p>
    <w:p>
      <w:pPr>
        <w:numPr>
          <w:ilvl w:val="0"/>
          <w:numId w:val="0"/>
        </w:numPr>
        <w:bidi w:val="0"/>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lang w:val="en-US" w:eastAsia="zh-CN"/>
        </w:rPr>
        <w:t>参数偏离响应情况</w:t>
      </w:r>
    </w:p>
    <w:p>
      <w:pPr>
        <w:pStyle w:val="2"/>
        <w:rPr>
          <w:rFonts w:hint="eastAsia" w:ascii="宋体" w:hAnsi="宋体" w:eastAsia="宋体" w:cs="宋体"/>
          <w:color w:val="auto"/>
          <w:sz w:val="24"/>
          <w:szCs w:val="24"/>
          <w:highlight w:val="none"/>
          <w:lang w:val="en-US" w:eastAsia="zh-CN"/>
        </w:rPr>
      </w:pPr>
    </w:p>
    <w:p>
      <w:pPr>
        <w:spacing w:line="500" w:lineRule="exact"/>
        <w:rPr>
          <w:rFonts w:hint="eastAsia" w:ascii="宋体" w:hAnsi="宋体" w:eastAsia="宋体" w:cs="宋体"/>
          <w:color w:val="auto"/>
          <w:sz w:val="24"/>
          <w:szCs w:val="24"/>
          <w:highlight w:val="none"/>
          <w:lang w:val="en-US" w:eastAsia="zh-CN"/>
        </w:rPr>
      </w:pPr>
      <w:r>
        <w:rPr>
          <w:rFonts w:hint="eastAsia" w:ascii="宋体" w:hAnsi="宋体" w:cs="宋体"/>
          <w:b/>
          <w:bCs w:val="0"/>
          <w:color w:val="000000"/>
          <w:sz w:val="21"/>
          <w:szCs w:val="21"/>
        </w:rPr>
        <w:t>实质性条款</w:t>
      </w:r>
    </w:p>
    <w:tbl>
      <w:tblPr>
        <w:tblStyle w:val="15"/>
        <w:tblpPr w:leftFromText="180" w:rightFromText="180" w:vertAnchor="text" w:horzAnchor="page" w:tblpX="1011" w:tblpY="476"/>
        <w:tblOverlap w:val="never"/>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6345"/>
        <w:gridCol w:w="1500"/>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4"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kern w:val="0"/>
                <w:sz w:val="21"/>
                <w:szCs w:val="21"/>
                <w:highlight w:val="none"/>
                <w:lang w:val="zh-CN"/>
              </w:rPr>
              <w:t>序号</w:t>
            </w:r>
          </w:p>
        </w:tc>
        <w:tc>
          <w:tcPr>
            <w:tcW w:w="634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参数要求</w:t>
            </w:r>
          </w:p>
        </w:tc>
        <w:tc>
          <w:tcPr>
            <w:tcW w:w="1500" w:type="dxa"/>
            <w:vAlign w:val="center"/>
          </w:tcPr>
          <w:p>
            <w:pPr>
              <w:keepNext w:val="0"/>
              <w:keepLines w:val="0"/>
              <w:pageBreakBefore w:val="0"/>
              <w:widowControl w:val="0"/>
              <w:tabs>
                <w:tab w:val="left" w:pos="720"/>
              </w:tabs>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完全响应或</w:t>
            </w:r>
          </w:p>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正/负偏离</w:t>
            </w:r>
          </w:p>
        </w:tc>
        <w:tc>
          <w:tcPr>
            <w:tcW w:w="112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4" w:type="dxa"/>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p>
        </w:tc>
        <w:tc>
          <w:tcPr>
            <w:tcW w:w="6345" w:type="dxa"/>
            <w:vAlign w:val="center"/>
          </w:tcPr>
          <w:p>
            <w:pPr>
              <w:pStyle w:val="20"/>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line="500" w:lineRule="exact"/>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c>
          <w:tcPr>
            <w:tcW w:w="1500" w:type="dxa"/>
            <w:vAlign w:val="center"/>
          </w:tcPr>
          <w:p>
            <w:pPr>
              <w:pStyle w:val="20"/>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eastAsia="zh-CN"/>
              </w:rPr>
            </w:pPr>
          </w:p>
        </w:tc>
        <w:tc>
          <w:tcPr>
            <w:tcW w:w="1129" w:type="dxa"/>
            <w:vAlign w:val="center"/>
          </w:tcPr>
          <w:p>
            <w:pPr>
              <w:pStyle w:val="20"/>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24" w:type="dxa"/>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lang w:val="en-US" w:eastAsia="zh-CN"/>
              </w:rPr>
            </w:pPr>
            <w:r>
              <w:rPr>
                <w:rFonts w:hint="eastAsia"/>
                <w:lang w:val="en-US" w:eastAsia="zh-CN"/>
              </w:rPr>
              <w:t>2</w:t>
            </w:r>
          </w:p>
        </w:tc>
        <w:tc>
          <w:tcPr>
            <w:tcW w:w="6345" w:type="dxa"/>
            <w:vAlign w:val="center"/>
          </w:tcPr>
          <w:p>
            <w:pPr>
              <w:pStyle w:val="20"/>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line="500" w:lineRule="exact"/>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成交供应商所提供产品的性能、配置参数等不能低于磋商文件所提出的要求。</w:t>
            </w:r>
          </w:p>
        </w:tc>
        <w:tc>
          <w:tcPr>
            <w:tcW w:w="1500" w:type="dxa"/>
            <w:vAlign w:val="center"/>
          </w:tcPr>
          <w:p>
            <w:pPr>
              <w:pStyle w:val="20"/>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129" w:type="dxa"/>
            <w:vAlign w:val="center"/>
          </w:tcPr>
          <w:p>
            <w:pPr>
              <w:pStyle w:val="20"/>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4" w:type="dxa"/>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p>
        </w:tc>
        <w:tc>
          <w:tcPr>
            <w:tcW w:w="6345" w:type="dxa"/>
            <w:vAlign w:val="center"/>
          </w:tcPr>
          <w:p>
            <w:pPr>
              <w:pStyle w:val="19"/>
              <w:numPr>
                <w:ilvl w:val="0"/>
                <w:numId w:val="0"/>
              </w:numPr>
              <w:spacing w:line="360" w:lineRule="auto"/>
              <w:rPr>
                <w:rFonts w:hint="eastAsia" w:ascii="宋体" w:hAnsi="宋体" w:eastAsia="宋体" w:cs="宋体"/>
                <w:bCs/>
                <w:kern w:val="2"/>
                <w:sz w:val="21"/>
                <w:szCs w:val="21"/>
                <w:lang w:val="zh-TW" w:eastAsia="zh-CN" w:bidi="ar-SA"/>
              </w:rPr>
            </w:pPr>
            <w:r>
              <w:rPr>
                <w:rFonts w:hint="eastAsia" w:ascii="宋体" w:hAnsi="宋体" w:eastAsia="宋体" w:cs="宋体"/>
                <w:bCs/>
                <w:kern w:val="2"/>
                <w:sz w:val="21"/>
                <w:szCs w:val="21"/>
                <w:lang w:val="zh-TW" w:eastAsia="zh-TW" w:bidi="ar-SA"/>
              </w:rPr>
              <w:t>采购人配电房及各区电井绝大部分一级、二级负荷配电空气开关均为“施耐德”，若成交供应商提供的货物因无法匹配配电房及各区电井的需求而导致的任何事故，全部责任及损失均由成交供应商自行负责，采购人有权单方终止合同。</w:t>
            </w:r>
          </w:p>
        </w:tc>
        <w:tc>
          <w:tcPr>
            <w:tcW w:w="1500" w:type="dxa"/>
            <w:vAlign w:val="center"/>
          </w:tcPr>
          <w:p>
            <w:pPr>
              <w:pStyle w:val="20"/>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129" w:type="dxa"/>
            <w:vAlign w:val="center"/>
          </w:tcPr>
          <w:p>
            <w:pPr>
              <w:pStyle w:val="20"/>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4" w:type="dxa"/>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c>
          <w:tcPr>
            <w:tcW w:w="6345" w:type="dxa"/>
            <w:vAlign w:val="center"/>
          </w:tcPr>
          <w:p>
            <w:pPr>
              <w:pStyle w:val="19"/>
              <w:numPr>
                <w:ilvl w:val="0"/>
                <w:numId w:val="0"/>
              </w:numPr>
              <w:spacing w:line="360" w:lineRule="auto"/>
              <w:rPr>
                <w:rFonts w:hint="eastAsia" w:ascii="宋体" w:hAnsi="宋体" w:eastAsia="宋体" w:cs="宋体"/>
                <w:bCs/>
                <w:kern w:val="2"/>
                <w:sz w:val="21"/>
                <w:szCs w:val="21"/>
                <w:lang w:val="zh-TW" w:eastAsia="zh-TW" w:bidi="ar-SA"/>
              </w:rPr>
            </w:pPr>
            <w:r>
              <w:rPr>
                <w:rFonts w:hint="eastAsia" w:ascii="宋体" w:hAnsi="宋体" w:eastAsia="宋体" w:cs="宋体"/>
                <w:bCs/>
                <w:kern w:val="2"/>
                <w:sz w:val="21"/>
                <w:szCs w:val="21"/>
                <w:lang w:val="en-US" w:eastAsia="zh-CN" w:bidi="ar-SA"/>
              </w:rPr>
              <w:t>供应商对采购物品的单价报出统一的投标下浮率，下浮率在0%（含本数）-100%（含本数）范围内取值，若报价超出此范围则投标无效。</w:t>
            </w:r>
          </w:p>
        </w:tc>
        <w:tc>
          <w:tcPr>
            <w:tcW w:w="1500"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129"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4" w:type="dxa"/>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6345" w:type="dxa"/>
            <w:vAlign w:val="center"/>
          </w:tcPr>
          <w:p>
            <w:pPr>
              <w:pStyle w:val="20"/>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line="500" w:lineRule="exact"/>
              <w:textAlignment w:val="auto"/>
              <w:rPr>
                <w:rFonts w:hint="eastAsia" w:ascii="宋体" w:hAnsi="宋体" w:eastAsia="宋体" w:cs="宋体"/>
                <w:bCs/>
                <w:kern w:val="2"/>
                <w:sz w:val="21"/>
                <w:szCs w:val="21"/>
                <w:lang w:val="zh-TW" w:eastAsia="zh-TW" w:bidi="ar-SA"/>
              </w:rPr>
            </w:pPr>
            <w:r>
              <w:rPr>
                <w:rFonts w:hint="eastAsia" w:ascii="宋体" w:hAnsi="宋体" w:eastAsia="宋体" w:cs="宋体"/>
                <w:bCs/>
                <w:kern w:val="2"/>
                <w:sz w:val="21"/>
                <w:szCs w:val="21"/>
                <w:lang w:val="en-US" w:eastAsia="zh-CN" w:bidi="ar-SA"/>
              </w:rPr>
              <w:t>协议供货期间的价格：各类货物实际供货价=单价上限值×（1-投标下浮率）。在合同期内，成交价即是合同期间的最终价格，成交价（1-下浮率）不再随着市场同类商品市场价格的调整而进行调整。</w:t>
            </w:r>
          </w:p>
        </w:tc>
        <w:tc>
          <w:tcPr>
            <w:tcW w:w="1500"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c>
          <w:tcPr>
            <w:tcW w:w="1129"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4" w:type="dxa"/>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w:t>
            </w:r>
          </w:p>
        </w:tc>
        <w:tc>
          <w:tcPr>
            <w:tcW w:w="6345" w:type="dxa"/>
            <w:vAlign w:val="center"/>
          </w:tcPr>
          <w:p>
            <w:pPr>
              <w:pStyle w:val="20"/>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line="500" w:lineRule="exact"/>
              <w:textAlignment w:val="auto"/>
              <w:rPr>
                <w:rFonts w:hint="eastAsia" w:ascii="宋体" w:hAnsi="宋体" w:eastAsia="宋体" w:cs="宋体"/>
                <w:bCs/>
                <w:kern w:val="2"/>
                <w:sz w:val="21"/>
                <w:szCs w:val="21"/>
                <w:lang w:val="zh-TW" w:eastAsia="zh-TW" w:bidi="ar-SA"/>
              </w:rPr>
            </w:pPr>
            <w:r>
              <w:rPr>
                <w:rFonts w:hint="eastAsia" w:ascii="宋体" w:hAnsi="宋体" w:eastAsia="宋体" w:cs="宋体"/>
                <w:bCs/>
                <w:kern w:val="2"/>
                <w:sz w:val="21"/>
                <w:szCs w:val="21"/>
                <w:lang w:val="en-US" w:eastAsia="zh-CN" w:bidi="ar-SA"/>
              </w:rPr>
              <w:t>质保期：当次所送货物质保期为验收合格之日起壹年，质保期内成交供应商须提供“包退、包换、包修”的质量“三包”服务。货物如不符合国家的有关质量标准、磋商文件参数要求的，采购人有权拒收，成交供应商应无条件退换货物，退换期限为5个自然日内，由此产生的一切费用由成交供应商承担，如造成采购人经济损失的，采购人有权进行索赔。</w:t>
            </w:r>
          </w:p>
        </w:tc>
        <w:tc>
          <w:tcPr>
            <w:tcW w:w="1500"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129"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4" w:type="dxa"/>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w:t>
            </w:r>
          </w:p>
        </w:tc>
        <w:tc>
          <w:tcPr>
            <w:tcW w:w="6345" w:type="dxa"/>
            <w:vAlign w:val="center"/>
          </w:tcPr>
          <w:p>
            <w:pPr>
              <w:spacing w:line="360" w:lineRule="auto"/>
              <w:ind w:firstLine="210" w:firstLineChars="100"/>
              <w:rPr>
                <w:rFonts w:hint="eastAsia" w:ascii="宋体" w:hAnsi="宋体" w:eastAsia="宋体" w:cs="宋体"/>
                <w:kern w:val="2"/>
                <w:sz w:val="18"/>
                <w:szCs w:val="21"/>
                <w:lang w:val="zh-TW" w:eastAsia="zh-TW" w:bidi="zh-TW"/>
              </w:rPr>
            </w:pPr>
            <w:r>
              <w:rPr>
                <w:rFonts w:hint="eastAsia" w:ascii="宋体" w:hAnsi="宋体" w:cs="宋体"/>
                <w:bCs/>
                <w:szCs w:val="21"/>
              </w:rPr>
              <w:t>成交供应商与采购人签订合同后5个工作日内需向采购人交合同总金额的5%作为履约保证金。履约保证金的退还为最后一批送货验收合格后一个月内一次性退还。如有违约事项，采购人根据约定条款扣款，剩余款项予以无息退还。</w:t>
            </w:r>
          </w:p>
        </w:tc>
        <w:tc>
          <w:tcPr>
            <w:tcW w:w="1500"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c>
          <w:tcPr>
            <w:tcW w:w="1129"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4" w:type="dxa"/>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p>
        </w:tc>
        <w:tc>
          <w:tcPr>
            <w:tcW w:w="6345" w:type="dxa"/>
            <w:vAlign w:val="center"/>
          </w:tcPr>
          <w:p>
            <w:pPr>
              <w:pStyle w:val="19"/>
              <w:spacing w:line="360" w:lineRule="auto"/>
              <w:ind w:firstLine="210" w:firstLineChars="100"/>
              <w:rPr>
                <w:rFonts w:hint="eastAsia" w:ascii="宋体" w:hAnsi="宋体" w:eastAsia="宋体" w:cs="宋体"/>
                <w:kern w:val="2"/>
                <w:sz w:val="18"/>
                <w:szCs w:val="21"/>
                <w:lang w:val="zh-TW" w:eastAsia="zh-TW" w:bidi="zh-TW"/>
              </w:rPr>
            </w:pPr>
            <w:r>
              <w:rPr>
                <w:rFonts w:hint="eastAsia" w:ascii="宋体" w:hAnsi="宋体" w:cs="宋体"/>
                <w:bCs/>
                <w:szCs w:val="21"/>
              </w:rPr>
              <w:t>成交供应商逾期交货的，则每逾期一天按合同总价的5‰支付违约金给采购人。如超过合同规定交货期限10天成交供应商仍不能交货的，则视为成交供应商不能交货，成交供应商不能交货的，则按合同总价30%支付违约金给采购人。同时，采购人有权单方面解除合同且履约保证金不再退还。如上述违约金及履约保证金的金额仍不足以补偿采购人因成交供应商违约造成的损失，采购人有权进一步向成交供应商提出索赔。</w:t>
            </w:r>
          </w:p>
        </w:tc>
        <w:tc>
          <w:tcPr>
            <w:tcW w:w="1500"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129"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bl>
    <w:p>
      <w:pPr>
        <w:keepNext w:val="0"/>
        <w:keepLines w:val="0"/>
        <w:pageBreakBefore w:val="0"/>
        <w:numPr>
          <w:ilvl w:val="0"/>
          <w:numId w:val="0"/>
        </w:numPr>
        <w:kinsoku/>
        <w:topLinePunct w:val="0"/>
        <w:bidi w:val="0"/>
        <w:spacing w:line="500" w:lineRule="exact"/>
        <w:textAlignment w:val="auto"/>
        <w:rPr>
          <w:rFonts w:hint="eastAsia" w:ascii="宋体" w:hAnsi="宋体" w:eastAsia="宋体" w:cs="宋体"/>
          <w:b/>
          <w:color w:val="000000" w:themeColor="text1"/>
          <w:sz w:val="24"/>
          <w:highlight w:val="none"/>
          <w14:textFill>
            <w14:solidFill>
              <w14:schemeClr w14:val="tx1"/>
            </w14:solidFill>
          </w14:textFill>
        </w:rPr>
      </w:pPr>
    </w:p>
    <w:p>
      <w:pPr>
        <w:rPr>
          <w:rFonts w:hint="eastAsia" w:ascii="宋体" w:hAnsi="宋体" w:eastAsia="宋体" w:cs="宋体"/>
          <w:b/>
          <w:color w:val="000000" w:themeColor="text1"/>
          <w:sz w:val="24"/>
          <w:highlight w:val="none"/>
          <w14:textFill>
            <w14:solidFill>
              <w14:schemeClr w14:val="tx1"/>
            </w14:solidFill>
          </w14:textFill>
        </w:rPr>
      </w:pPr>
    </w:p>
    <w:p>
      <w:pPr>
        <w:spacing w:line="500" w:lineRule="exact"/>
        <w:rPr>
          <w:rFonts w:hint="eastAsia" w:ascii="宋体" w:hAnsi="宋体" w:eastAsia="宋体" w:cs="宋体"/>
          <w:color w:val="auto"/>
          <w:sz w:val="24"/>
          <w:szCs w:val="24"/>
          <w:highlight w:val="none"/>
          <w:lang w:val="en-US" w:eastAsia="zh-CN"/>
        </w:rPr>
      </w:pPr>
      <w:r>
        <w:rPr>
          <w:rFonts w:hint="eastAsia" w:ascii="宋体" w:hAnsi="宋体" w:cs="宋体"/>
          <w:b/>
          <w:bCs w:val="0"/>
          <w:color w:val="000000"/>
          <w:sz w:val="21"/>
          <w:szCs w:val="21"/>
          <w:lang w:val="en-US" w:eastAsia="zh-CN"/>
        </w:rPr>
        <w:t>一般</w:t>
      </w:r>
      <w:r>
        <w:rPr>
          <w:rFonts w:hint="eastAsia" w:ascii="宋体" w:hAnsi="宋体" w:cs="宋体"/>
          <w:b/>
          <w:bCs w:val="0"/>
          <w:color w:val="000000"/>
          <w:sz w:val="21"/>
          <w:szCs w:val="21"/>
        </w:rPr>
        <w:t>条款</w:t>
      </w:r>
    </w:p>
    <w:tbl>
      <w:tblPr>
        <w:tblStyle w:val="15"/>
        <w:tblpPr w:leftFromText="180" w:rightFromText="180" w:vertAnchor="text" w:horzAnchor="page" w:tblpX="1011" w:tblpY="476"/>
        <w:tblOverlap w:val="never"/>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6345"/>
        <w:gridCol w:w="1500"/>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4"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kern w:val="0"/>
                <w:sz w:val="21"/>
                <w:szCs w:val="21"/>
                <w:highlight w:val="none"/>
                <w:lang w:val="zh-CN"/>
              </w:rPr>
              <w:t>序号</w:t>
            </w:r>
          </w:p>
        </w:tc>
        <w:tc>
          <w:tcPr>
            <w:tcW w:w="634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参数要求</w:t>
            </w:r>
          </w:p>
        </w:tc>
        <w:tc>
          <w:tcPr>
            <w:tcW w:w="1500" w:type="dxa"/>
            <w:vAlign w:val="center"/>
          </w:tcPr>
          <w:p>
            <w:pPr>
              <w:keepNext w:val="0"/>
              <w:keepLines w:val="0"/>
              <w:pageBreakBefore w:val="0"/>
              <w:widowControl w:val="0"/>
              <w:tabs>
                <w:tab w:val="left" w:pos="720"/>
              </w:tabs>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完全响应或</w:t>
            </w:r>
          </w:p>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正/负偏离</w:t>
            </w:r>
          </w:p>
        </w:tc>
        <w:tc>
          <w:tcPr>
            <w:tcW w:w="112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4" w:type="dxa"/>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cs="宋体"/>
                <w:b w:val="0"/>
                <w:bCs w:val="0"/>
                <w:color w:val="auto"/>
                <w:sz w:val="21"/>
                <w:szCs w:val="21"/>
                <w:highlight w:val="none"/>
                <w:lang w:val="zh-CN" w:eastAsia="zh-CN"/>
              </w:rPr>
            </w:pPr>
          </w:p>
        </w:tc>
        <w:tc>
          <w:tcPr>
            <w:tcW w:w="6345"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zh-CN" w:eastAsia="zh-CN"/>
              </w:rPr>
            </w:pPr>
            <w:r>
              <w:rPr>
                <w:rFonts w:hint="eastAsia" w:ascii="宋体" w:hAnsi="宋体" w:cs="宋体"/>
                <w:b w:val="0"/>
                <w:bCs w:val="0"/>
                <w:color w:val="auto"/>
                <w:sz w:val="21"/>
                <w:szCs w:val="21"/>
                <w:highlight w:val="none"/>
                <w:lang w:val="en-US" w:eastAsia="zh-CN"/>
              </w:rPr>
              <w:t>交货方式：一年内分批交货，非紧急货物在接到采购人通知后2个工作日内将所需货物送至交货地点，紧急货物在接到采购人通知后2小时内将所需货物送至交货地点。</w:t>
            </w:r>
          </w:p>
        </w:tc>
        <w:tc>
          <w:tcPr>
            <w:tcW w:w="150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1"/>
                <w:szCs w:val="21"/>
                <w:highlight w:val="none"/>
              </w:rPr>
            </w:pPr>
          </w:p>
        </w:tc>
        <w:tc>
          <w:tcPr>
            <w:tcW w:w="112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4" w:type="dxa"/>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cs="宋体"/>
                <w:b w:val="0"/>
                <w:bCs w:val="0"/>
                <w:color w:val="auto"/>
                <w:sz w:val="21"/>
                <w:szCs w:val="21"/>
                <w:highlight w:val="none"/>
                <w:lang w:val="zh-CN" w:eastAsia="zh-CN"/>
              </w:rPr>
            </w:pPr>
          </w:p>
        </w:tc>
        <w:tc>
          <w:tcPr>
            <w:tcW w:w="6345"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eastAsia="宋体" w:cs="宋体"/>
                <w:b w:val="0"/>
                <w:bCs w:val="0"/>
                <w:color w:val="auto"/>
                <w:sz w:val="21"/>
                <w:szCs w:val="21"/>
                <w:highlight w:val="none"/>
                <w:lang w:val="zh-CN" w:eastAsia="zh-CN"/>
              </w:rPr>
            </w:pPr>
            <w:r>
              <w:rPr>
                <w:rFonts w:hint="eastAsia" w:asciiTheme="minorEastAsia" w:hAnsiTheme="minorEastAsia"/>
              </w:rPr>
              <w:t>货物在质保期内如有质量问题时，成交供应商必须对采购人提出的质量异议在1小时内予以响应并针对问题提出解决办法，2小时内到达现场，</w:t>
            </w:r>
            <w:r>
              <w:rPr>
                <w:rFonts w:hint="eastAsia" w:ascii="宋体" w:hAnsi="宋体" w:cs="宋体"/>
                <w:szCs w:val="21"/>
              </w:rPr>
              <w:t>解决问题的时限为到达现场后3小时内。</w:t>
            </w:r>
            <w:r>
              <w:rPr>
                <w:rFonts w:hint="eastAsia" w:asciiTheme="minorEastAsia" w:hAnsiTheme="minorEastAsia"/>
              </w:rPr>
              <w:t>如到场后3小时内仍无法解决或需更换的，成交供应商应另行提供等同或优于原参数的产品供采购人使用。未能及时完成修理或更换的，采购人有权自行购买更换，所支付费用从履约保证金中扣除</w:t>
            </w:r>
            <w:r>
              <w:rPr>
                <w:rFonts w:hint="eastAsia" w:asciiTheme="minorEastAsia" w:hAnsiTheme="minorEastAsia"/>
                <w:lang w:eastAsia="zh-CN"/>
              </w:rPr>
              <w:t>。</w:t>
            </w:r>
          </w:p>
        </w:tc>
        <w:tc>
          <w:tcPr>
            <w:tcW w:w="150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1"/>
                <w:szCs w:val="21"/>
                <w:highlight w:val="none"/>
              </w:rPr>
            </w:pPr>
          </w:p>
        </w:tc>
        <w:tc>
          <w:tcPr>
            <w:tcW w:w="112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4" w:type="dxa"/>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cs="宋体"/>
                <w:b w:val="0"/>
                <w:bCs w:val="0"/>
                <w:color w:val="auto"/>
                <w:sz w:val="21"/>
                <w:szCs w:val="21"/>
                <w:highlight w:val="none"/>
                <w:lang w:val="zh-CN" w:eastAsia="zh-CN"/>
              </w:rPr>
            </w:pPr>
          </w:p>
        </w:tc>
        <w:tc>
          <w:tcPr>
            <w:tcW w:w="6345"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zh-CN" w:eastAsia="zh-CN"/>
              </w:rPr>
            </w:pPr>
            <w:r>
              <w:rPr>
                <w:rFonts w:hint="eastAsia" w:ascii="宋体" w:hAnsi="宋体" w:cs="宋体"/>
                <w:szCs w:val="21"/>
              </w:rPr>
              <w:t>质保期内，成交供应商提供24小时响应服务。成交供应商需</w:t>
            </w:r>
            <w:r>
              <w:rPr>
                <w:rFonts w:hint="eastAsia" w:asciiTheme="minorEastAsia" w:hAnsiTheme="minorEastAsia"/>
              </w:rPr>
              <w:t>指定一名人员为本项目负责人，负责人要保证服务电话24小时保持畅通。</w:t>
            </w:r>
          </w:p>
        </w:tc>
        <w:tc>
          <w:tcPr>
            <w:tcW w:w="150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1"/>
                <w:szCs w:val="21"/>
                <w:highlight w:val="none"/>
              </w:rPr>
            </w:pPr>
          </w:p>
        </w:tc>
        <w:tc>
          <w:tcPr>
            <w:tcW w:w="112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1"/>
                <w:szCs w:val="21"/>
                <w:highlight w:val="none"/>
              </w:rPr>
            </w:pPr>
          </w:p>
        </w:tc>
      </w:tr>
    </w:tbl>
    <w:p>
      <w:pPr>
        <w:pStyle w:val="2"/>
        <w:rPr>
          <w:rFonts w:hint="eastAsia" w:ascii="宋体" w:hAnsi="宋体" w:eastAsia="宋体" w:cs="宋体"/>
          <w:b/>
          <w:color w:val="000000" w:themeColor="text1"/>
          <w:sz w:val="24"/>
          <w:highlight w:val="none"/>
          <w14:textFill>
            <w14:solidFill>
              <w14:schemeClr w14:val="tx1"/>
            </w14:solidFill>
          </w14:textFill>
        </w:rPr>
      </w:pPr>
    </w:p>
    <w:p>
      <w:pPr>
        <w:rPr>
          <w:rFonts w:hint="eastAsia" w:ascii="宋体" w:hAnsi="宋体" w:eastAsia="宋体" w:cs="宋体"/>
          <w:b/>
          <w:color w:val="000000" w:themeColor="text1"/>
          <w:sz w:val="24"/>
          <w:highlight w:val="none"/>
          <w14:textFill>
            <w14:solidFill>
              <w14:schemeClr w14:val="tx1"/>
            </w14:solidFill>
          </w14:textFill>
        </w:rPr>
      </w:pPr>
    </w:p>
    <w:p>
      <w:pPr>
        <w:pStyle w:val="2"/>
        <w:rPr>
          <w:rFonts w:hint="eastAsia" w:ascii="宋体" w:hAnsi="宋体" w:eastAsia="宋体" w:cs="宋体"/>
          <w:b/>
          <w:color w:val="000000" w:themeColor="text1"/>
          <w:sz w:val="24"/>
          <w:highlight w:val="none"/>
          <w14:textFill>
            <w14:solidFill>
              <w14:schemeClr w14:val="tx1"/>
            </w14:solidFill>
          </w14:textFill>
        </w:rPr>
      </w:pPr>
    </w:p>
    <w:p>
      <w:pPr>
        <w:rPr>
          <w:rFonts w:hint="eastAsia" w:ascii="宋体" w:hAnsi="宋体" w:eastAsia="宋体" w:cs="宋体"/>
          <w:b/>
          <w:color w:val="000000" w:themeColor="text1"/>
          <w:sz w:val="24"/>
          <w:highlight w:val="none"/>
          <w14:textFill>
            <w14:solidFill>
              <w14:schemeClr w14:val="tx1"/>
            </w14:solidFill>
          </w14:textFill>
        </w:rPr>
      </w:pPr>
    </w:p>
    <w:p>
      <w:pPr>
        <w:pStyle w:val="2"/>
        <w:rPr>
          <w:rFonts w:hint="eastAsia" w:ascii="宋体" w:hAnsi="宋体" w:eastAsia="宋体" w:cs="宋体"/>
          <w:b/>
          <w:color w:val="000000" w:themeColor="text1"/>
          <w:sz w:val="24"/>
          <w:highlight w:val="none"/>
          <w14:textFill>
            <w14:solidFill>
              <w14:schemeClr w14:val="tx1"/>
            </w14:solidFill>
          </w14:textFill>
        </w:rPr>
      </w:pPr>
    </w:p>
    <w:p>
      <w:pPr>
        <w:rPr>
          <w:rFonts w:hint="eastAsia" w:ascii="宋体" w:hAnsi="宋体" w:eastAsia="宋体" w:cs="宋体"/>
          <w:b/>
          <w:color w:val="000000" w:themeColor="text1"/>
          <w:sz w:val="24"/>
          <w:highlight w:val="none"/>
          <w14:textFill>
            <w14:solidFill>
              <w14:schemeClr w14:val="tx1"/>
            </w14:solidFill>
          </w14:textFill>
        </w:rPr>
      </w:pPr>
    </w:p>
    <w:p>
      <w:pPr>
        <w:pStyle w:val="2"/>
        <w:rPr>
          <w:rFonts w:hint="eastAsia"/>
        </w:rPr>
      </w:pPr>
    </w:p>
    <w:p>
      <w:pPr>
        <w:pStyle w:val="7"/>
        <w:keepNext w:val="0"/>
        <w:keepLines w:val="0"/>
        <w:pageBreakBefore w:val="0"/>
        <w:widowControl w:val="0"/>
        <w:numPr>
          <w:ilvl w:val="0"/>
          <w:numId w:val="16"/>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报价单 </w:t>
      </w: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致中山市小榄人民医院：</w:t>
      </w:r>
    </w:p>
    <w:p>
      <w:pPr>
        <w:pStyle w:val="2"/>
        <w:rPr>
          <w:rFonts w:hint="eastAsia"/>
          <w:color w:val="auto"/>
          <w:lang w:val="en-US" w:eastAsia="zh-CN"/>
        </w:rPr>
      </w:pPr>
    </w:p>
    <w:tbl>
      <w:tblPr>
        <w:tblStyle w:val="14"/>
        <w:tblpPr w:leftFromText="180" w:rightFromText="180" w:vertAnchor="text" w:horzAnchor="page" w:tblpX="1326" w:tblpY="205"/>
        <w:tblOverlap w:val="never"/>
        <w:tblW w:w="48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1433"/>
        <w:gridCol w:w="1559"/>
        <w:gridCol w:w="1334"/>
        <w:gridCol w:w="103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pct"/>
            <w:vAlign w:val="center"/>
          </w:tcPr>
          <w:p>
            <w:pPr>
              <w:spacing w:line="560" w:lineRule="exact"/>
              <w:jc w:val="center"/>
              <w:rPr>
                <w:rFonts w:hint="eastAsia" w:ascii="宋体" w:hAnsi="宋体" w:eastAsia="宋体" w:cs="宋体"/>
                <w:b/>
                <w:bCs/>
                <w:color w:val="auto"/>
                <w:sz w:val="26"/>
                <w:szCs w:val="26"/>
              </w:rPr>
            </w:pPr>
            <w:r>
              <w:rPr>
                <w:rFonts w:hint="eastAsia" w:ascii="宋体" w:hAnsi="宋体" w:eastAsia="宋体" w:cs="宋体"/>
                <w:b/>
                <w:bCs/>
                <w:color w:val="auto"/>
                <w:sz w:val="26"/>
                <w:szCs w:val="26"/>
              </w:rPr>
              <w:t>货物名称</w:t>
            </w:r>
          </w:p>
        </w:tc>
        <w:tc>
          <w:tcPr>
            <w:tcW w:w="787" w:type="pct"/>
            <w:vAlign w:val="center"/>
          </w:tcPr>
          <w:p>
            <w:pPr>
              <w:spacing w:line="560" w:lineRule="exact"/>
              <w:jc w:val="center"/>
              <w:rPr>
                <w:rFonts w:hint="eastAsia" w:ascii="宋体" w:hAnsi="宋体" w:eastAsia="宋体" w:cs="宋体"/>
                <w:b/>
                <w:bCs/>
                <w:color w:val="auto"/>
                <w:sz w:val="26"/>
                <w:szCs w:val="26"/>
              </w:rPr>
            </w:pPr>
            <w:r>
              <w:rPr>
                <w:rFonts w:hint="eastAsia" w:ascii="宋体" w:hAnsi="宋体" w:eastAsia="宋体" w:cs="宋体"/>
                <w:b/>
                <w:bCs/>
                <w:color w:val="auto"/>
                <w:sz w:val="26"/>
                <w:szCs w:val="26"/>
              </w:rPr>
              <w:t>品牌</w:t>
            </w:r>
          </w:p>
        </w:tc>
        <w:tc>
          <w:tcPr>
            <w:tcW w:w="857" w:type="pct"/>
            <w:vAlign w:val="center"/>
          </w:tcPr>
          <w:p>
            <w:pPr>
              <w:spacing w:line="560" w:lineRule="exact"/>
              <w:jc w:val="center"/>
              <w:rPr>
                <w:rFonts w:hint="eastAsia" w:ascii="宋体" w:hAnsi="宋体" w:eastAsia="宋体" w:cs="宋体"/>
                <w:b/>
                <w:bCs/>
                <w:color w:val="auto"/>
                <w:sz w:val="26"/>
                <w:szCs w:val="26"/>
              </w:rPr>
            </w:pPr>
            <w:r>
              <w:rPr>
                <w:rFonts w:hint="eastAsia" w:ascii="宋体" w:hAnsi="宋体" w:eastAsia="宋体" w:cs="宋体"/>
                <w:b/>
                <w:bCs/>
                <w:color w:val="auto"/>
                <w:sz w:val="26"/>
                <w:szCs w:val="26"/>
              </w:rPr>
              <w:t>型号、规格</w:t>
            </w:r>
          </w:p>
        </w:tc>
        <w:tc>
          <w:tcPr>
            <w:tcW w:w="733" w:type="pct"/>
            <w:vAlign w:val="center"/>
          </w:tcPr>
          <w:p>
            <w:pPr>
              <w:spacing w:line="560" w:lineRule="exact"/>
              <w:jc w:val="center"/>
              <w:rPr>
                <w:rFonts w:hint="eastAsia" w:ascii="宋体" w:hAnsi="宋体" w:eastAsia="宋体" w:cs="宋体"/>
                <w:b/>
                <w:bCs/>
                <w:color w:val="auto"/>
                <w:sz w:val="26"/>
                <w:szCs w:val="26"/>
              </w:rPr>
            </w:pPr>
            <w:r>
              <w:rPr>
                <w:rFonts w:hint="eastAsia" w:ascii="宋体" w:hAnsi="宋体" w:eastAsia="宋体" w:cs="宋体"/>
                <w:b/>
                <w:bCs/>
                <w:color w:val="auto"/>
                <w:sz w:val="26"/>
                <w:szCs w:val="26"/>
              </w:rPr>
              <w:t>单位</w:t>
            </w:r>
          </w:p>
        </w:tc>
        <w:tc>
          <w:tcPr>
            <w:tcW w:w="569" w:type="pct"/>
            <w:vAlign w:val="center"/>
          </w:tcPr>
          <w:p>
            <w:pPr>
              <w:spacing w:line="560" w:lineRule="exact"/>
              <w:jc w:val="center"/>
              <w:rPr>
                <w:rFonts w:hint="eastAsia" w:ascii="宋体" w:hAnsi="宋体" w:eastAsia="宋体" w:cs="宋体"/>
                <w:b/>
                <w:bCs/>
                <w:color w:val="auto"/>
                <w:sz w:val="26"/>
                <w:szCs w:val="26"/>
                <w:lang w:eastAsia="zh-CN"/>
              </w:rPr>
            </w:pPr>
            <w:r>
              <w:rPr>
                <w:rFonts w:hint="eastAsia" w:ascii="宋体" w:hAnsi="宋体" w:cs="宋体"/>
                <w:b/>
                <w:bCs/>
                <w:color w:val="auto"/>
                <w:sz w:val="26"/>
                <w:szCs w:val="26"/>
                <w:lang w:val="en-US" w:eastAsia="zh-CN"/>
              </w:rPr>
              <w:t>报价</w:t>
            </w:r>
          </w:p>
        </w:tc>
        <w:tc>
          <w:tcPr>
            <w:tcW w:w="725" w:type="pct"/>
            <w:vAlign w:val="center"/>
          </w:tcPr>
          <w:p>
            <w:pPr>
              <w:spacing w:line="560" w:lineRule="exact"/>
              <w:jc w:val="center"/>
              <w:rPr>
                <w:rFonts w:hint="default" w:ascii="宋体" w:hAnsi="宋体" w:cs="宋体"/>
                <w:b/>
                <w:bCs/>
                <w:color w:val="auto"/>
                <w:sz w:val="26"/>
                <w:szCs w:val="26"/>
                <w:lang w:val="en-US" w:eastAsia="zh-CN"/>
              </w:rPr>
            </w:pPr>
            <w:r>
              <w:rPr>
                <w:rFonts w:hint="eastAsia" w:ascii="宋体" w:hAnsi="宋体" w:cs="宋体"/>
                <w:b/>
                <w:bCs/>
                <w:color w:val="auto"/>
                <w:sz w:val="26"/>
                <w:szCs w:val="26"/>
                <w:lang w:val="en-US" w:eastAsia="zh-CN"/>
              </w:rPr>
              <w:t>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326" w:type="pct"/>
            <w:vAlign w:val="center"/>
          </w:tcPr>
          <w:p>
            <w:pPr>
              <w:spacing w:line="560" w:lineRule="exact"/>
              <w:jc w:val="center"/>
              <w:rPr>
                <w:rFonts w:hint="eastAsia" w:ascii="宋体" w:hAnsi="宋体" w:eastAsia="宋体" w:cs="宋体"/>
                <w:b/>
                <w:color w:val="auto"/>
                <w:sz w:val="26"/>
                <w:szCs w:val="26"/>
              </w:rPr>
            </w:pPr>
          </w:p>
        </w:tc>
        <w:tc>
          <w:tcPr>
            <w:tcW w:w="787" w:type="pct"/>
            <w:vAlign w:val="center"/>
          </w:tcPr>
          <w:p>
            <w:pPr>
              <w:spacing w:line="560" w:lineRule="exact"/>
              <w:jc w:val="center"/>
              <w:rPr>
                <w:rFonts w:hint="eastAsia" w:ascii="宋体" w:hAnsi="宋体" w:eastAsia="宋体" w:cs="宋体"/>
                <w:color w:val="auto"/>
                <w:sz w:val="26"/>
                <w:szCs w:val="26"/>
              </w:rPr>
            </w:pPr>
          </w:p>
        </w:tc>
        <w:tc>
          <w:tcPr>
            <w:tcW w:w="857" w:type="pct"/>
            <w:vAlign w:val="center"/>
          </w:tcPr>
          <w:p>
            <w:pPr>
              <w:spacing w:line="560" w:lineRule="exact"/>
              <w:jc w:val="center"/>
              <w:rPr>
                <w:rFonts w:hint="eastAsia" w:ascii="宋体" w:hAnsi="宋体" w:eastAsia="宋体" w:cs="宋体"/>
                <w:color w:val="auto"/>
                <w:sz w:val="26"/>
                <w:szCs w:val="26"/>
              </w:rPr>
            </w:pPr>
          </w:p>
        </w:tc>
        <w:tc>
          <w:tcPr>
            <w:tcW w:w="733" w:type="pct"/>
            <w:vAlign w:val="center"/>
          </w:tcPr>
          <w:p>
            <w:pPr>
              <w:spacing w:line="560" w:lineRule="exact"/>
              <w:jc w:val="center"/>
              <w:rPr>
                <w:rFonts w:hint="eastAsia" w:ascii="宋体" w:hAnsi="宋体" w:eastAsia="宋体" w:cs="宋体"/>
                <w:color w:val="auto"/>
                <w:sz w:val="26"/>
                <w:szCs w:val="26"/>
              </w:rPr>
            </w:pPr>
          </w:p>
        </w:tc>
        <w:tc>
          <w:tcPr>
            <w:tcW w:w="569" w:type="pct"/>
            <w:vAlign w:val="center"/>
          </w:tcPr>
          <w:p>
            <w:pPr>
              <w:spacing w:line="560" w:lineRule="exact"/>
              <w:jc w:val="center"/>
              <w:rPr>
                <w:rFonts w:hint="eastAsia" w:ascii="宋体" w:hAnsi="宋体" w:eastAsia="宋体" w:cs="宋体"/>
                <w:color w:val="auto"/>
                <w:sz w:val="26"/>
                <w:szCs w:val="26"/>
              </w:rPr>
            </w:pPr>
          </w:p>
        </w:tc>
        <w:tc>
          <w:tcPr>
            <w:tcW w:w="725" w:type="pct"/>
            <w:vAlign w:val="center"/>
          </w:tcPr>
          <w:p>
            <w:pPr>
              <w:spacing w:line="560" w:lineRule="exact"/>
              <w:jc w:val="center"/>
              <w:rPr>
                <w:rFonts w:hint="eastAsia" w:ascii="宋体" w:hAnsi="宋体" w:eastAsia="宋体" w:cs="宋体"/>
                <w:color w:val="auto"/>
                <w:sz w:val="26"/>
                <w:szCs w:val="26"/>
              </w:rPr>
            </w:pPr>
          </w:p>
        </w:tc>
      </w:tr>
    </w:tbl>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520" w:firstLineChars="2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w:t>
      </w:r>
    </w:p>
    <w:p>
      <w:pPr>
        <w:pStyle w:val="2"/>
        <w:keepNext w:val="0"/>
        <w:keepLines w:val="0"/>
        <w:pageBreakBefore w:val="0"/>
        <w:widowControl w:val="0"/>
        <w:kinsoku/>
        <w:wordWrap/>
        <w:overflowPunct/>
        <w:topLinePunct w:val="0"/>
        <w:autoSpaceDE/>
        <w:autoSpaceDN/>
        <w:bidi w:val="0"/>
        <w:adjustRightInd/>
        <w:snapToGrid/>
        <w:spacing w:line="360" w:lineRule="auto"/>
        <w:ind w:firstLine="5520" w:firstLineChars="2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360" w:lineRule="auto"/>
        <w:ind w:firstLine="5520" w:firstLineChars="2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w:t>
      </w:r>
    </w:p>
    <w:p>
      <w:pPr>
        <w:pStyle w:val="2"/>
        <w:keepNext w:val="0"/>
        <w:keepLines w:val="0"/>
        <w:pageBreakBefore w:val="0"/>
        <w:widowControl w:val="0"/>
        <w:kinsoku/>
        <w:wordWrap/>
        <w:overflowPunct/>
        <w:topLinePunct w:val="0"/>
        <w:autoSpaceDE/>
        <w:autoSpaceDN/>
        <w:bidi w:val="0"/>
        <w:adjustRightInd/>
        <w:snapToGrid/>
        <w:spacing w:line="360" w:lineRule="auto"/>
        <w:ind w:firstLine="5520" w:firstLineChars="23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报价时间：    年   月   日</w:t>
      </w:r>
    </w:p>
    <w:p>
      <w:pPr>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br w:type="page"/>
      </w:r>
    </w:p>
    <w:p>
      <w:pPr>
        <w:pStyle w:val="7"/>
        <w:keepNext w:val="0"/>
        <w:keepLines w:val="0"/>
        <w:pageBreakBefore w:val="0"/>
        <w:widowControl w:val="0"/>
        <w:numPr>
          <w:ilvl w:val="0"/>
          <w:numId w:val="16"/>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w:t>
      </w:r>
    </w:p>
    <w:p>
      <w:pPr>
        <w:pStyle w:val="7"/>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ascii="宋体" w:hAnsi="宋体" w:eastAsia="宋体" w:cs="宋体"/>
          <w:b w:val="0"/>
          <w:bCs w:val="0"/>
          <w:color w:val="auto"/>
          <w:sz w:val="24"/>
          <w:szCs w:val="24"/>
          <w:highlight w:val="none"/>
        </w:rPr>
      </w:pP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法定代表人授权委托书</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致：</w:t>
      </w:r>
      <w:r>
        <w:rPr>
          <w:rFonts w:hint="eastAsia" w:ascii="宋体" w:hAnsi="宋体" w:cs="宋体"/>
          <w:b w:val="0"/>
          <w:bCs w:val="0"/>
          <w:color w:val="auto"/>
          <w:sz w:val="24"/>
          <w:szCs w:val="24"/>
          <w:highlight w:val="none"/>
          <w:lang w:eastAsia="zh-CN"/>
        </w:rPr>
        <w:t>中山市小榄人民医院</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兹授权</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同志，为我方签订经济合同及办理其他事务代理人，其权限是：</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 xml:space="preserve">授权单位（盖章）：  </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cs="宋体"/>
          <w:b w:val="0"/>
          <w:bCs w:val="0"/>
          <w:color w:val="auto"/>
          <w:sz w:val="24"/>
          <w:szCs w:val="24"/>
          <w:highlight w:val="none"/>
        </w:rPr>
        <w:t>法定代表人</w:t>
      </w:r>
      <w:r>
        <w:rPr>
          <w:rFonts w:hint="eastAsia" w:ascii="宋体" w:hAnsi="宋体"/>
          <w:b w:val="0"/>
          <w:bCs w:val="0"/>
          <w:color w:val="auto"/>
          <w:sz w:val="24"/>
          <w:szCs w:val="24"/>
          <w:highlight w:val="none"/>
        </w:rPr>
        <w:t>（签名或盖私章）：</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日期：</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年</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月</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日</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附：代理人性别：        年龄：       职务：         身份证号码：</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联系电话：</w:t>
      </w:r>
    </w:p>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统一社会信用代码：</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说明：1、</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法定代表人</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为企业事业单位、国家机关、社会团体的主要行政负责人。</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2、此处所述“法定代表人”，须与供应商“营业执照”上的内容一致。</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      3、内容必须填写真实、清楚、涂改无效，不得转让、买卖。</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4、将此证明书提交对方作为合同附件。</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5、授权权限：全权代表本公司参与上述采购项目的报价，负责提供与签署确认一切文书资料，以及向贵方递交的任何补充承诺。</w:t>
      </w:r>
    </w:p>
    <w:p>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6、签字代表为法定代表人，则本表不适用。</w:t>
      </w:r>
    </w:p>
    <w:p>
      <w:pPr>
        <w:pStyle w:val="2"/>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7、身份证复印件或扫描件须在有效期内。</w:t>
      </w:r>
    </w:p>
    <w:p>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b w:val="0"/>
          <w:bCs w:val="0"/>
          <w:color w:val="auto"/>
          <w:sz w:val="21"/>
          <w:szCs w:val="21"/>
          <w:highlight w:val="none"/>
        </w:rPr>
      </w:pPr>
      <w:r>
        <w:rPr>
          <w:rFonts w:hint="eastAsia" w:ascii="宋体" w:hAnsi="宋体" w:cs="宋体"/>
          <w:b w:val="0"/>
          <w:bCs w:val="0"/>
          <w:color w:val="auto"/>
          <w:sz w:val="24"/>
          <w:szCs w:val="24"/>
          <w:highlight w:val="none"/>
        </w:rPr>
        <w:t>8、有效</w:t>
      </w:r>
      <w:r>
        <w:rPr>
          <w:rFonts w:hint="eastAsia" w:ascii="宋体" w:hAnsi="宋体"/>
          <w:b w:val="0"/>
          <w:bCs w:val="0"/>
          <w:color w:val="auto"/>
          <w:sz w:val="24"/>
          <w:szCs w:val="24"/>
          <w:highlight w:val="none"/>
        </w:rPr>
        <w:t>期限：与本公司报价文件注的</w:t>
      </w:r>
      <w:r>
        <w:rPr>
          <w:rFonts w:hint="eastAsia" w:ascii="宋体" w:hAnsi="宋体"/>
          <w:b w:val="0"/>
          <w:bCs w:val="0"/>
          <w:color w:val="auto"/>
          <w:sz w:val="24"/>
          <w:szCs w:val="24"/>
          <w:highlight w:val="none"/>
          <w:lang w:eastAsia="zh-CN"/>
        </w:rPr>
        <w:t>报价</w:t>
      </w:r>
      <w:r>
        <w:rPr>
          <w:rFonts w:hint="eastAsia" w:ascii="宋体" w:hAnsi="宋体"/>
          <w:b w:val="0"/>
          <w:bCs w:val="0"/>
          <w:color w:val="auto"/>
          <w:sz w:val="24"/>
          <w:szCs w:val="24"/>
          <w:highlight w:val="none"/>
        </w:rPr>
        <w:t>有效期相同，自本单位盖公章之日起生效。</w:t>
      </w: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4"/>
          <w:szCs w:val="24"/>
          <w:highlight w:val="none"/>
        </w:rPr>
      </w:pPr>
      <w:r>
        <w:rPr>
          <w:rFonts w:ascii="宋体" w:hAnsi="宋体" w:cs="宋体"/>
          <w:b w:val="0"/>
          <w:bCs w:val="0"/>
          <w:i w:val="0"/>
          <w:iCs w:val="0"/>
          <w:color w:val="auto"/>
          <w:sz w:val="21"/>
          <w:szCs w:val="21"/>
          <w:highlight w:val="none"/>
          <w:u w:val="none"/>
        </w:rPr>
        <mc:AlternateContent>
          <mc:Choice Requires="wps">
            <w:drawing>
              <wp:inline distT="0" distB="0" distL="114935" distR="114935">
                <wp:extent cx="5765165" cy="2400300"/>
                <wp:effectExtent l="4445" t="4445" r="21590" b="14605"/>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5765165" cy="2400300"/>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b w:val="0"/>
                                <w:bCs w:val="0"/>
                                <w:szCs w:val="21"/>
                              </w:rPr>
                            </w:pPr>
                          </w:p>
                          <w:p>
                            <w:pPr>
                              <w:jc w:val="center"/>
                              <w:rPr>
                                <w:b w:val="0"/>
                                <w:bCs w:val="0"/>
                                <w:szCs w:val="21"/>
                              </w:rPr>
                            </w:pPr>
                            <w:r>
                              <w:rPr>
                                <w:rFonts w:hint="eastAsia" w:hAnsi="宋体"/>
                                <w:b w:val="0"/>
                                <w:bCs w:val="0"/>
                                <w:szCs w:val="21"/>
                              </w:rPr>
                              <w:t>被授权代表身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wps:txbx>
                      <wps:bodyPr rot="0" vert="horz" wrap="square" lIns="91440" tIns="45720" rIns="91440" bIns="45720" anchor="t" anchorCtr="0" upright="1">
                        <a:noAutofit/>
                      </wps:bodyPr>
                    </wps:wsp>
                  </a:graphicData>
                </a:graphic>
              </wp:inline>
            </w:drawing>
          </mc:Choice>
          <mc:Fallback>
            <w:pict>
              <v:shape id="_x0000_s1026" o:spid="_x0000_s1026" o:spt="176" type="#_x0000_t176" style="height:189pt;width:453.95pt;" fillcolor="#FFFFFF" filled="t" stroked="t" coordsize="21600,21600" o:gfxdata="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mrvztUAAAAFAQAADwAAAAAAAAABACAAAAAiAAAAZHJzL2Rvd25yZXYueG1sUEsBAhQA&#10;FAAAAAgAh07iQLIEa4VnAgAArAQAAA4AAAAAAAAAAQAgAAAAJAEAAGRycy9lMm9Eb2MueG1sUEsF&#10;BgAAAAAGAAYAWQEAAP0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b w:val="0"/>
                          <w:bCs w:val="0"/>
                          <w:szCs w:val="21"/>
                        </w:rPr>
                      </w:pPr>
                    </w:p>
                    <w:p>
                      <w:pPr>
                        <w:jc w:val="center"/>
                        <w:rPr>
                          <w:b w:val="0"/>
                          <w:bCs w:val="0"/>
                          <w:szCs w:val="21"/>
                        </w:rPr>
                      </w:pPr>
                      <w:r>
                        <w:rPr>
                          <w:rFonts w:hint="eastAsia" w:hAnsi="宋体"/>
                          <w:b w:val="0"/>
                          <w:bCs w:val="0"/>
                          <w:szCs w:val="21"/>
                        </w:rPr>
                        <w:t>被授权代表身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v:textbox>
                <w10:wrap type="none"/>
                <w10:anchorlock/>
              </v:shape>
            </w:pict>
          </mc:Fallback>
        </mc:AlternateContent>
      </w:r>
    </w:p>
    <w:p>
      <w:pPr>
        <w:pStyle w:val="7"/>
        <w:keepNext w:val="0"/>
        <w:keepLines w:val="0"/>
        <w:pageBreakBefore w:val="0"/>
        <w:widowControl w:val="0"/>
        <w:numPr>
          <w:ilvl w:val="0"/>
          <w:numId w:val="16"/>
        </w:numPr>
        <w:tabs>
          <w:tab w:val="left" w:pos="0"/>
          <w:tab w:val="clear" w:pos="42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负责人为同一人或者存在直接控股、管理关系的不同报价人，不得参加同一合同项下的谈判活动，供应商在参与本次谈判活动中未有围标、串标行为。并出具《无围标、串标行为承诺书》、《无关联关系声明函》（加盖公章）。</w:t>
      </w:r>
    </w:p>
    <w:p>
      <w:pPr>
        <w:pStyle w:val="5"/>
        <w:tabs>
          <w:tab w:val="center" w:pos="4450"/>
          <w:tab w:val="left" w:pos="6396"/>
        </w:tabs>
        <w:jc w:val="center"/>
        <w:rPr>
          <w:rFonts w:hint="eastAsia" w:ascii="宋体" w:hAnsi="宋体" w:eastAsia="宋体" w:cs="宋体"/>
        </w:rPr>
      </w:pPr>
    </w:p>
    <w:p>
      <w:pPr>
        <w:pStyle w:val="5"/>
        <w:keepNext/>
        <w:keepLines/>
        <w:pageBreakBefore w:val="0"/>
        <w:widowControl w:val="0"/>
        <w:tabs>
          <w:tab w:val="center" w:pos="4450"/>
          <w:tab w:val="left" w:pos="6396"/>
        </w:tabs>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lang w:eastAsia="zh-CN"/>
        </w:rPr>
      </w:pPr>
      <w:r>
        <w:rPr>
          <w:rFonts w:hint="eastAsia" w:ascii="宋体" w:hAnsi="宋体" w:eastAsia="宋体" w:cs="宋体"/>
        </w:rPr>
        <w:t>无围标、串标行为</w:t>
      </w:r>
      <w:r>
        <w:rPr>
          <w:rFonts w:hint="eastAsia" w:ascii="宋体" w:hAnsi="宋体" w:eastAsia="宋体" w:cs="宋体"/>
          <w:lang w:eastAsia="zh-CN"/>
        </w:rPr>
        <w:t>声明函</w:t>
      </w:r>
    </w:p>
    <w:p>
      <w:pPr>
        <w:rPr>
          <w:rFonts w:hint="eastAsia" w:ascii="宋体" w:hAnsi="宋体" w:eastAsia="宋体" w:cs="宋体"/>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本公司郑重</w:t>
      </w:r>
      <w:r>
        <w:rPr>
          <w:rFonts w:hint="eastAsia" w:ascii="宋体" w:hAnsi="宋体" w:eastAsia="宋体" w:cs="宋体"/>
          <w:sz w:val="24"/>
          <w:lang w:eastAsia="zh-CN"/>
        </w:rPr>
        <w:t>声明</w:t>
      </w:r>
      <w:r>
        <w:rPr>
          <w:rFonts w:hint="eastAsia" w:ascii="宋体" w:hAnsi="宋体" w:eastAsia="宋体" w:cs="宋体"/>
          <w:sz w:val="24"/>
        </w:rPr>
        <w:t>：本公司在参加本次</w:t>
      </w:r>
      <w:r>
        <w:rPr>
          <w:rFonts w:hint="eastAsia" w:ascii="宋体" w:hAnsi="宋体" w:eastAsia="宋体" w:cs="宋体"/>
          <w:sz w:val="24"/>
          <w:u w:val="none"/>
          <w:lang w:eastAsia="zh-CN"/>
        </w:rPr>
        <w:t>中山市小榄人民医院</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谈判</w:t>
      </w:r>
      <w:r>
        <w:rPr>
          <w:rFonts w:hint="eastAsia" w:ascii="宋体" w:hAnsi="宋体" w:eastAsia="宋体" w:cs="宋体"/>
          <w:sz w:val="24"/>
          <w:u w:val="none"/>
          <w:lang w:eastAsia="zh-CN"/>
        </w:rPr>
        <w:t>项目</w:t>
      </w:r>
      <w:r>
        <w:rPr>
          <w:rFonts w:hint="eastAsia" w:ascii="宋体" w:hAnsi="宋体" w:eastAsia="宋体" w:cs="宋体"/>
          <w:sz w:val="24"/>
        </w:rPr>
        <w:t>采购活动中，无以下围标、串标行为。</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w:t>
      </w:r>
      <w:r>
        <w:rPr>
          <w:rFonts w:hint="eastAsia" w:ascii="宋体" w:hAnsi="宋体" w:cs="宋体"/>
          <w:sz w:val="24"/>
          <w:lang w:eastAsia="zh-CN"/>
        </w:rPr>
        <w:t>报价文件</w:t>
      </w:r>
      <w:r>
        <w:rPr>
          <w:rFonts w:hint="eastAsia" w:ascii="宋体" w:hAnsi="宋体" w:eastAsia="宋体" w:cs="宋体"/>
          <w:sz w:val="24"/>
        </w:rPr>
        <w:t>由同一单位或者个人编制；</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不同供应商委托同一单位或者个人办理响应事宜；</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w:t>
      </w:r>
      <w:r>
        <w:rPr>
          <w:rFonts w:hint="eastAsia" w:ascii="宋体" w:hAnsi="宋体" w:cs="宋体"/>
          <w:sz w:val="24"/>
          <w:lang w:eastAsia="zh-CN"/>
        </w:rPr>
        <w:t>报价文件</w:t>
      </w:r>
      <w:r>
        <w:rPr>
          <w:rFonts w:hint="eastAsia" w:ascii="宋体" w:hAnsi="宋体" w:eastAsia="宋体" w:cs="宋体"/>
          <w:sz w:val="24"/>
        </w:rPr>
        <w:t>载明的项目管理成员或者联系人员为同一人；</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w:t>
      </w:r>
      <w:r>
        <w:rPr>
          <w:rFonts w:hint="eastAsia" w:ascii="宋体" w:hAnsi="宋体" w:cs="宋体"/>
          <w:sz w:val="24"/>
          <w:lang w:eastAsia="zh-CN"/>
        </w:rPr>
        <w:t>报价文件</w:t>
      </w:r>
      <w:r>
        <w:rPr>
          <w:rFonts w:hint="eastAsia" w:ascii="宋体" w:hAnsi="宋体" w:eastAsia="宋体" w:cs="宋体"/>
          <w:sz w:val="24"/>
        </w:rPr>
        <w:t>异常一致或者响应报价呈规律性差异；</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w:t>
      </w:r>
      <w:r>
        <w:rPr>
          <w:rFonts w:hint="eastAsia" w:ascii="宋体" w:hAnsi="宋体" w:cs="宋体"/>
          <w:sz w:val="24"/>
          <w:lang w:eastAsia="zh-CN"/>
        </w:rPr>
        <w:t>报价文件</w:t>
      </w:r>
      <w:r>
        <w:rPr>
          <w:rFonts w:hint="eastAsia" w:ascii="宋体" w:hAnsi="宋体" w:eastAsia="宋体" w:cs="宋体"/>
          <w:sz w:val="24"/>
        </w:rPr>
        <w:t>相互混装；</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不同供应商的董事、监事、高管、单位负责人为同一人或者存在控股、管理关系的不同单位参加同一包组项目；</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法律法规界定的其他围标串标行为</w:t>
      </w:r>
      <w:r>
        <w:rPr>
          <w:rFonts w:hint="eastAsia" w:ascii="宋体" w:hAnsi="宋体" w:cs="宋体"/>
          <w:sz w:val="24"/>
          <w:lang w:eastAsia="zh-CN"/>
        </w:rPr>
        <w:t>；</w:t>
      </w:r>
    </w:p>
    <w:p>
      <w:pPr>
        <w:spacing w:line="360" w:lineRule="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如有发现我公司存在围标、串标行为，我公司愿承担一切法律责任。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特此</w:t>
      </w:r>
      <w:r>
        <w:rPr>
          <w:rFonts w:hint="eastAsia" w:ascii="宋体" w:hAnsi="宋体" w:eastAsia="宋体" w:cs="宋体"/>
          <w:sz w:val="24"/>
          <w:lang w:eastAsia="zh-CN"/>
        </w:rPr>
        <w:t>声明</w:t>
      </w:r>
      <w:r>
        <w:rPr>
          <w:rFonts w:hint="eastAsia" w:ascii="宋体" w:hAnsi="宋体" w:eastAsia="宋体" w:cs="宋体"/>
          <w:sz w:val="24"/>
        </w:rPr>
        <w:t>。</w:t>
      </w:r>
    </w:p>
    <w:p>
      <w:pPr>
        <w:spacing w:before="156" w:beforeLines="50" w:after="156" w:afterLines="50" w:line="360" w:lineRule="auto"/>
        <w:ind w:firstLine="480" w:firstLineChars="200"/>
        <w:rPr>
          <w:rFonts w:hint="eastAsia" w:ascii="宋体" w:hAnsi="宋体" w:eastAsia="宋体" w:cs="宋体"/>
          <w:sz w:val="24"/>
        </w:rPr>
      </w:pPr>
    </w:p>
    <w:p>
      <w:pPr>
        <w:spacing w:before="156" w:beforeLines="50" w:after="156" w:afterLines="50" w:line="360" w:lineRule="auto"/>
        <w:rPr>
          <w:rFonts w:hint="eastAsia" w:ascii="宋体" w:hAnsi="宋体" w:eastAsia="宋体" w:cs="宋体"/>
          <w:sz w:val="24"/>
          <w:vertAlign w:val="baseline"/>
        </w:rPr>
      </w:pPr>
      <w:r>
        <w:rPr>
          <w:rFonts w:hint="eastAsia" w:ascii="宋体" w:hAnsi="宋体" w:eastAsia="宋体" w:cs="宋体"/>
          <w:sz w:val="24"/>
        </w:rPr>
        <w:t xml:space="preserve">                    </w:t>
      </w:r>
    </w:p>
    <w:p>
      <w:pPr>
        <w:spacing w:before="156" w:beforeLines="50" w:after="156" w:afterLines="50" w:line="360" w:lineRule="auto"/>
        <w:rPr>
          <w:rFonts w:hint="eastAsia"/>
        </w:rPr>
      </w:pPr>
      <w:r>
        <w:rPr>
          <w:rFonts w:hint="eastAsia" w:ascii="宋体" w:hAnsi="宋体" w:eastAsia="宋体" w:cs="宋体"/>
          <w:sz w:val="24"/>
        </w:rPr>
        <w:t>供应商名称（加盖公章）：</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法定代表人或其委托人签字：</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日期：</w:t>
      </w:r>
      <w:r>
        <w:rPr>
          <w:rFonts w:hint="eastAsia" w:ascii="宋体" w:hAnsi="宋体" w:cs="宋体"/>
          <w:sz w:val="24"/>
          <w:lang w:val="en-US" w:eastAsia="zh-CN"/>
        </w:rPr>
        <w:t xml:space="preserve">     </w:t>
      </w:r>
      <w:r>
        <w:rPr>
          <w:rFonts w:hint="eastAsia" w:ascii="宋体" w:hAnsi="宋体" w:eastAsia="宋体" w:cs="宋体"/>
          <w:sz w:val="24"/>
        </w:rPr>
        <w:t xml:space="preserve"> 年 </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w:t>
      </w:r>
    </w:p>
    <w:p>
      <w:pPr>
        <w:widowControl w:val="0"/>
        <w:numPr>
          <w:ilvl w:val="0"/>
          <w:numId w:val="0"/>
        </w:numPr>
        <w:tabs>
          <w:tab w:val="left" w:pos="420"/>
        </w:tabs>
        <w:jc w:val="both"/>
        <w:rPr>
          <w:rFonts w:hint="eastAsia" w:ascii="宋体" w:hAnsi="宋体" w:eastAsia="宋体" w:cs="宋体"/>
          <w:b w:val="0"/>
          <w:bCs/>
          <w:color w:val="auto"/>
          <w:sz w:val="24"/>
          <w:szCs w:val="24"/>
          <w:highlight w:val="none"/>
        </w:rPr>
      </w:pPr>
    </w:p>
    <w:p>
      <w:pPr>
        <w:pStyle w:val="19"/>
        <w:rPr>
          <w:rFonts w:hint="eastAsia" w:ascii="宋体" w:hAnsi="宋体" w:eastAsia="宋体" w:cs="宋体"/>
          <w:b w:val="0"/>
          <w:bCs/>
          <w:color w:val="auto"/>
          <w:sz w:val="24"/>
          <w:szCs w:val="24"/>
          <w:highlight w:val="none"/>
        </w:rPr>
      </w:pPr>
    </w:p>
    <w:p>
      <w:pPr>
        <w:pStyle w:val="19"/>
        <w:rPr>
          <w:rFonts w:hint="eastAsia" w:ascii="宋体" w:hAnsi="宋体" w:eastAsia="宋体" w:cs="宋体"/>
          <w:b w:val="0"/>
          <w:bCs/>
          <w:color w:val="auto"/>
          <w:sz w:val="24"/>
          <w:szCs w:val="24"/>
          <w:highlight w:val="none"/>
        </w:rPr>
      </w:pPr>
    </w:p>
    <w:p>
      <w:pPr>
        <w:pStyle w:val="19"/>
        <w:ind w:left="0" w:leftChars="0" w:firstLine="0" w:firstLineChars="0"/>
        <w:rPr>
          <w:rFonts w:hint="eastAsia" w:ascii="宋体" w:hAnsi="宋体" w:eastAsia="宋体" w:cs="宋体"/>
          <w:b w:val="0"/>
          <w:bCs/>
          <w:color w:val="auto"/>
          <w:sz w:val="24"/>
          <w:szCs w:val="24"/>
          <w:highlight w:val="none"/>
        </w:rPr>
      </w:pPr>
    </w:p>
    <w:p>
      <w:pPr>
        <w:pStyle w:val="7"/>
        <w:keepNext w:val="0"/>
        <w:keepLines w:val="0"/>
        <w:pageBreakBefore w:val="0"/>
        <w:widowControl w:val="0"/>
        <w:numPr>
          <w:ilvl w:val="0"/>
          <w:numId w:val="16"/>
        </w:numPr>
        <w:tabs>
          <w:tab w:val="left" w:pos="0"/>
          <w:tab w:val="clear" w:pos="42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厂家资质证件（包括但不限于营业执照等）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7"/>
        <w:keepNext w:val="0"/>
        <w:keepLines w:val="0"/>
        <w:pageBreakBefore w:val="0"/>
        <w:widowControl w:val="0"/>
        <w:numPr>
          <w:ilvl w:val="0"/>
          <w:numId w:val="16"/>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各级经销商资质证件（包括但不限于营业执照等）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numPr>
          <w:ilvl w:val="0"/>
          <w:numId w:val="16"/>
        </w:numPr>
        <w:ind w:left="425" w:leftChars="0" w:hanging="425" w:firstLineChars="0"/>
      </w:pPr>
      <w:r>
        <w:rPr>
          <w:rFonts w:hint="eastAsia" w:ascii="宋体" w:hAnsi="宋体" w:eastAsia="宋体" w:cs="宋体"/>
          <w:color w:val="auto"/>
          <w:sz w:val="24"/>
          <w:szCs w:val="24"/>
          <w:highlight w:val="none"/>
        </w:rPr>
        <w:t>售后服务承诺函</w:t>
      </w:r>
      <w:r>
        <w:rPr>
          <w:rFonts w:hint="eastAsia" w:ascii="宋体" w:hAnsi="宋体" w:eastAsia="宋体" w:cs="宋体"/>
          <w:color w:val="auto"/>
          <w:sz w:val="24"/>
          <w:szCs w:val="24"/>
          <w:highlight w:val="none"/>
        </w:rPr>
        <w:tab/>
      </w:r>
    </w:p>
    <w:sectPr>
      <w:headerReference r:id="rId4" w:type="default"/>
      <w:footerReference r:id="rId5" w:type="default"/>
      <w:pgSz w:w="11907" w:h="16840"/>
      <w:pgMar w:top="1418" w:right="1418" w:bottom="1418" w:left="1418" w:header="567" w:footer="74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tab w:relativeTo="margin" w:alignment="right" w:leader="none"/>
    </w:r>
    <w:r>
      <w:ptab w:relativeTo="margin" w:alignment="lef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8"/>
      </w:rPr>
    </w:pPr>
    <w:r>
      <w:fldChar w:fldCharType="begin"/>
    </w:r>
    <w:r>
      <w:rPr>
        <w:rStyle w:val="18"/>
      </w:rPr>
      <w:instrText xml:space="preserve">PAGE  </w:instrText>
    </w:r>
    <w:r>
      <w:fldChar w:fldCharType="separate"/>
    </w:r>
    <w:r>
      <w:rPr>
        <w:rStyle w:val="18"/>
      </w:rPr>
      <w:t>47</w:t>
    </w:r>
    <w:r>
      <w:fldChar w:fldCharType="end"/>
    </w:r>
  </w:p>
  <w:p>
    <w:pPr>
      <w:pStyle w:val="8"/>
      <w:ind w:right="-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left" w:pos="7133"/>
        <w:tab w:val="clear" w:pos="8306"/>
      </w:tabs>
      <w:jc w:val="left"/>
      <w:rPr>
        <w:rFonts w:hint="eastAsia" w:ascii="宋体" w:hAnsi="宋体" w:eastAsia="宋体"/>
        <w:bCs/>
        <w:highlight w:val="yellow"/>
        <w:u w:val="single"/>
        <w:lang w:eastAsia="zh-CN"/>
      </w:rPr>
    </w:pPr>
    <w:r>
      <w:rPr>
        <w:rFonts w:hint="eastAsia" w:ascii="宋体" w:hAnsi="宋体"/>
        <w:bCs/>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5ED39"/>
    <w:multiLevelType w:val="singleLevel"/>
    <w:tmpl w:val="A1E5ED39"/>
    <w:lvl w:ilvl="0" w:tentative="0">
      <w:start w:val="3"/>
      <w:numFmt w:val="chineseCounting"/>
      <w:suff w:val="space"/>
      <w:lvlText w:val="第%1部分"/>
      <w:lvlJc w:val="left"/>
      <w:rPr>
        <w:rFonts w:hint="eastAsia"/>
      </w:rPr>
    </w:lvl>
  </w:abstractNum>
  <w:abstractNum w:abstractNumId="1">
    <w:nsid w:val="A2B3B281"/>
    <w:multiLevelType w:val="singleLevel"/>
    <w:tmpl w:val="A2B3B281"/>
    <w:lvl w:ilvl="0" w:tentative="0">
      <w:start w:val="1"/>
      <w:numFmt w:val="decimal"/>
      <w:suff w:val="nothing"/>
      <w:lvlText w:val="（%1）"/>
      <w:lvlJc w:val="left"/>
      <w:pPr>
        <w:tabs>
          <w:tab w:val="left" w:pos="420"/>
        </w:tabs>
        <w:ind w:left="425" w:leftChars="0" w:hanging="425" w:firstLineChars="0"/>
      </w:pPr>
      <w:rPr>
        <w:rFonts w:hint="default" w:ascii="宋体" w:hAnsi="宋体" w:eastAsia="宋体" w:cs="宋体"/>
      </w:rPr>
    </w:lvl>
  </w:abstractNum>
  <w:abstractNum w:abstractNumId="2">
    <w:nsid w:val="E8FD4783"/>
    <w:multiLevelType w:val="singleLevel"/>
    <w:tmpl w:val="E8FD4783"/>
    <w:lvl w:ilvl="0" w:tentative="0">
      <w:start w:val="1"/>
      <w:numFmt w:val="decimal"/>
      <w:suff w:val="nothing"/>
      <w:lvlText w:val="（%1）"/>
      <w:lvlJc w:val="left"/>
      <w:pPr>
        <w:tabs>
          <w:tab w:val="left" w:pos="420"/>
        </w:tabs>
        <w:ind w:left="425" w:leftChars="0" w:hanging="425" w:firstLineChars="0"/>
      </w:pPr>
      <w:rPr>
        <w:rFonts w:hint="default" w:ascii="宋体" w:hAnsi="宋体" w:eastAsia="宋体" w:cs="宋体"/>
      </w:rPr>
    </w:lvl>
  </w:abstractNum>
  <w:abstractNum w:abstractNumId="3">
    <w:nsid w:val="EDA5B547"/>
    <w:multiLevelType w:val="singleLevel"/>
    <w:tmpl w:val="EDA5B547"/>
    <w:lvl w:ilvl="0" w:tentative="0">
      <w:start w:val="1"/>
      <w:numFmt w:val="chineseCounting"/>
      <w:suff w:val="nothing"/>
      <w:lvlText w:val="%1、"/>
      <w:lvlJc w:val="left"/>
      <w:pPr>
        <w:ind w:left="0" w:firstLine="420"/>
      </w:pPr>
      <w:rPr>
        <w:rFonts w:hint="eastAsia"/>
      </w:rPr>
    </w:lvl>
  </w:abstractNum>
  <w:abstractNum w:abstractNumId="4">
    <w:nsid w:val="00B95F47"/>
    <w:multiLevelType w:val="multilevel"/>
    <w:tmpl w:val="00B95F4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E73C57"/>
    <w:multiLevelType w:val="multilevel"/>
    <w:tmpl w:val="08E73C57"/>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4F3416"/>
    <w:multiLevelType w:val="multilevel"/>
    <w:tmpl w:val="0A4F3416"/>
    <w:lvl w:ilvl="0" w:tentative="0">
      <w:start w:val="1"/>
      <w:numFmt w:val="decimal"/>
      <w:lvlText w:val="%1、"/>
      <w:lvlJc w:val="left"/>
      <w:pPr>
        <w:ind w:left="360" w:hanging="360"/>
      </w:pPr>
      <w:rPr>
        <w:rFonts w:hint="default" w:asciiTheme="minorHAnsi" w:hAnsi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C69D465"/>
    <w:multiLevelType w:val="singleLevel"/>
    <w:tmpl w:val="0C69D465"/>
    <w:lvl w:ilvl="0" w:tentative="0">
      <w:start w:val="1"/>
      <w:numFmt w:val="decimal"/>
      <w:lvlText w:val="(%1)"/>
      <w:lvlJc w:val="left"/>
      <w:pPr>
        <w:ind w:left="425" w:hanging="425"/>
      </w:pPr>
      <w:rPr>
        <w:rFonts w:hint="default"/>
      </w:rPr>
    </w:lvl>
  </w:abstractNum>
  <w:abstractNum w:abstractNumId="8">
    <w:nsid w:val="126569CE"/>
    <w:multiLevelType w:val="multilevel"/>
    <w:tmpl w:val="126569CE"/>
    <w:lvl w:ilvl="0" w:tentative="0">
      <w:start w:val="1"/>
      <w:numFmt w:val="decimal"/>
      <w:lvlText w:val="%1、"/>
      <w:lvlJc w:val="left"/>
      <w:pPr>
        <w:ind w:left="360" w:hanging="360"/>
      </w:pPr>
      <w:rPr>
        <w:rFonts w:hint="default" w:asciiTheme="minorHAnsi" w:hAnsi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5B12AB2"/>
    <w:multiLevelType w:val="multilevel"/>
    <w:tmpl w:val="25B12A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8ED6BFA"/>
    <w:multiLevelType w:val="singleLevel"/>
    <w:tmpl w:val="28ED6BFA"/>
    <w:lvl w:ilvl="0" w:tentative="0">
      <w:start w:val="1"/>
      <w:numFmt w:val="decimal"/>
      <w:lvlText w:val="%1."/>
      <w:lvlJc w:val="left"/>
      <w:pPr>
        <w:tabs>
          <w:tab w:val="left" w:pos="420"/>
        </w:tabs>
        <w:ind w:left="425" w:leftChars="0" w:hanging="425" w:firstLineChars="0"/>
      </w:pPr>
      <w:rPr>
        <w:rFonts w:hint="default"/>
      </w:rPr>
    </w:lvl>
  </w:abstractNum>
  <w:abstractNum w:abstractNumId="11">
    <w:nsid w:val="37DAE8FC"/>
    <w:multiLevelType w:val="singleLevel"/>
    <w:tmpl w:val="37DAE8FC"/>
    <w:lvl w:ilvl="0" w:tentative="0">
      <w:start w:val="1"/>
      <w:numFmt w:val="decimal"/>
      <w:suff w:val="space"/>
      <w:lvlText w:val="2.%1"/>
      <w:lvlJc w:val="left"/>
      <w:pPr>
        <w:tabs>
          <w:tab w:val="left" w:pos="0"/>
        </w:tabs>
      </w:pPr>
      <w:rPr>
        <w:rFonts w:hint="default" w:ascii="宋体" w:hAnsi="宋体" w:eastAsia="宋体" w:cs="宋体"/>
      </w:rPr>
    </w:lvl>
  </w:abstractNum>
  <w:abstractNum w:abstractNumId="12">
    <w:nsid w:val="4DDA7DA9"/>
    <w:multiLevelType w:val="singleLevel"/>
    <w:tmpl w:val="4DDA7DA9"/>
    <w:lvl w:ilvl="0" w:tentative="0">
      <w:start w:val="1"/>
      <w:numFmt w:val="decimal"/>
      <w:lvlText w:val="3.%1"/>
      <w:lvlJc w:val="left"/>
      <w:pPr>
        <w:tabs>
          <w:tab w:val="left" w:pos="420"/>
        </w:tabs>
        <w:ind w:left="425" w:leftChars="0" w:hanging="425" w:firstLineChars="0"/>
      </w:pPr>
      <w:rPr>
        <w:rFonts w:hint="default"/>
      </w:rPr>
    </w:lvl>
  </w:abstractNum>
  <w:abstractNum w:abstractNumId="13">
    <w:nsid w:val="649E3F83"/>
    <w:multiLevelType w:val="multilevel"/>
    <w:tmpl w:val="649E3F83"/>
    <w:lvl w:ilvl="0" w:tentative="0">
      <w:start w:val="1"/>
      <w:numFmt w:val="decimal"/>
      <w:lvlText w:val="%1"/>
      <w:lvlJc w:val="center"/>
      <w:pPr>
        <w:ind w:left="420" w:hanging="132"/>
      </w:pPr>
      <w:rPr>
        <w:rFonts w:hint="default" w:ascii="Times New Roman" w:hAnsi="Times New Roman" w:eastAsia="宋体"/>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A977239"/>
    <w:multiLevelType w:val="multilevel"/>
    <w:tmpl w:val="6A9772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FEF5E58"/>
    <w:multiLevelType w:val="singleLevel"/>
    <w:tmpl w:val="6FEF5E58"/>
    <w:lvl w:ilvl="0" w:tentative="0">
      <w:start w:val="1"/>
      <w:numFmt w:val="decimal"/>
      <w:lvlText w:val="%1."/>
      <w:lvlJc w:val="left"/>
      <w:pPr>
        <w:ind w:left="425" w:hanging="425"/>
      </w:pPr>
      <w:rPr>
        <w:rFonts w:hint="default"/>
      </w:rPr>
    </w:lvl>
  </w:abstractNum>
  <w:abstractNum w:abstractNumId="16">
    <w:nsid w:val="72E2BE85"/>
    <w:multiLevelType w:val="singleLevel"/>
    <w:tmpl w:val="72E2BE85"/>
    <w:lvl w:ilvl="0" w:tentative="0">
      <w:start w:val="1"/>
      <w:numFmt w:val="decimal"/>
      <w:lvlText w:val="6.%1"/>
      <w:lvlJc w:val="left"/>
      <w:pPr>
        <w:tabs>
          <w:tab w:val="left" w:pos="420"/>
        </w:tabs>
        <w:ind w:left="425" w:leftChars="0" w:hanging="425" w:firstLineChars="0"/>
      </w:pPr>
      <w:rPr>
        <w:rFonts w:hint="default" w:ascii="宋体" w:hAnsi="宋体" w:eastAsia="宋体" w:cs="宋体"/>
      </w:rPr>
    </w:lvl>
  </w:abstractNum>
  <w:num w:numId="1">
    <w:abstractNumId w:val="3"/>
  </w:num>
  <w:num w:numId="2">
    <w:abstractNumId w:val="11"/>
  </w:num>
  <w:num w:numId="3">
    <w:abstractNumId w:val="12"/>
  </w:num>
  <w:num w:numId="4">
    <w:abstractNumId w:val="7"/>
  </w:num>
  <w:num w:numId="5">
    <w:abstractNumId w:val="1"/>
  </w:num>
  <w:num w:numId="6">
    <w:abstractNumId w:val="2"/>
  </w:num>
  <w:num w:numId="7">
    <w:abstractNumId w:val="16"/>
  </w:num>
  <w:num w:numId="8">
    <w:abstractNumId w:val="5"/>
  </w:num>
  <w:num w:numId="9">
    <w:abstractNumId w:val="13"/>
  </w:num>
  <w:num w:numId="10">
    <w:abstractNumId w:val="9"/>
  </w:num>
  <w:num w:numId="11">
    <w:abstractNumId w:val="14"/>
  </w:num>
  <w:num w:numId="12">
    <w:abstractNumId w:val="6"/>
  </w:num>
  <w:num w:numId="13">
    <w:abstractNumId w:val="8"/>
  </w:num>
  <w:num w:numId="14">
    <w:abstractNumId w:val="4"/>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NTJmMzZhOWRkMDkzMjk2ZDE3Mjk4OWQ4OWJmNDUifQ=="/>
  </w:docVars>
  <w:rsids>
    <w:rsidRoot w:val="107F7BB3"/>
    <w:rsid w:val="0790199C"/>
    <w:rsid w:val="107F7BB3"/>
    <w:rsid w:val="56866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szCs w:val="20"/>
    </w:rPr>
  </w:style>
  <w:style w:type="paragraph" w:styleId="3">
    <w:name w:val="toc 5"/>
    <w:basedOn w:val="1"/>
    <w:next w:val="1"/>
    <w:qFormat/>
    <w:uiPriority w:val="0"/>
    <w:pPr>
      <w:ind w:left="840"/>
      <w:jc w:val="left"/>
    </w:pPr>
    <w:rPr>
      <w:rFonts w:ascii="Calibri" w:hAnsi="Calibri"/>
      <w:sz w:val="18"/>
      <w:szCs w:val="18"/>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9540"/>
      </w:tabs>
      <w:spacing w:line="360" w:lineRule="auto"/>
      <w:ind w:right="430" w:rightChars="205"/>
    </w:pPr>
    <w:rPr>
      <w:rFonts w:ascii="宋体" w:hAnsi="宋体"/>
      <w:b/>
      <w:kern w:val="0"/>
      <w:sz w:val="28"/>
      <w:szCs w:val="28"/>
    </w:rPr>
  </w:style>
  <w:style w:type="paragraph" w:styleId="11">
    <w:name w:val="Subtitle"/>
    <w:basedOn w:val="1"/>
    <w:next w:val="1"/>
    <w:qFormat/>
    <w:uiPriority w:val="0"/>
    <w:pPr>
      <w:adjustRightInd w:val="0"/>
      <w:spacing w:before="760" w:beforeLines="0" w:after="280" w:afterLines="0"/>
      <w:jc w:val="left"/>
      <w:textAlignment w:val="baseline"/>
    </w:pPr>
    <w:rPr>
      <w:rFonts w:ascii="Arial" w:hAnsi="Arial" w:eastAsia="黑体"/>
      <w:spacing w:val="40"/>
      <w:kern w:val="0"/>
      <w:sz w:val="30"/>
      <w:szCs w:val="20"/>
      <w:u w:val="single"/>
    </w:rPr>
  </w:style>
  <w:style w:type="paragraph" w:styleId="12">
    <w:name w:val="Normal (Web)"/>
    <w:basedOn w:val="1"/>
    <w:qFormat/>
    <w:uiPriority w:val="99"/>
    <w:pPr>
      <w:widowControl/>
      <w:spacing w:before="100" w:beforeLines="0" w:beforeAutospacing="1" w:after="100" w:afterLines="0" w:afterAutospacing="1"/>
      <w:jc w:val="left"/>
    </w:pPr>
    <w:rPr>
      <w:rFonts w:ascii="宋体" w:hAnsi="宋体"/>
      <w:color w:val="000000"/>
      <w:kern w:val="0"/>
      <w:sz w:val="24"/>
    </w:rPr>
  </w:style>
  <w:style w:type="paragraph" w:styleId="13">
    <w:name w:val="Body Text First Indent"/>
    <w:basedOn w:val="2"/>
    <w:next w:val="1"/>
    <w:qFormat/>
    <w:uiPriority w:val="0"/>
    <w:pPr>
      <w:spacing w:after="120" w:afterLines="0" w:line="240" w:lineRule="auto"/>
      <w:ind w:firstLine="420" w:firstLineChars="100"/>
    </w:pPr>
    <w:rPr>
      <w:szCs w:val="24"/>
    </w:rPr>
  </w:style>
  <w:style w:type="table" w:styleId="15">
    <w:name w:val="Table Grid"/>
    <w:basedOn w:val="1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basedOn w:val="16"/>
    <w:qFormat/>
    <w:uiPriority w:val="0"/>
    <w:rPr>
      <w:rFonts w:ascii="Tahoma" w:hAnsi="Tahoma" w:eastAsia="宋体"/>
      <w:b/>
      <w:bCs/>
      <w:spacing w:val="10"/>
      <w:sz w:val="24"/>
      <w:lang w:val="en-US" w:eastAsia="zh-CN" w:bidi="ar-SA"/>
    </w:rPr>
  </w:style>
  <w:style w:type="character" w:styleId="18">
    <w:name w:val="page number"/>
    <w:basedOn w:val="16"/>
    <w:qFormat/>
    <w:uiPriority w:val="0"/>
  </w:style>
  <w:style w:type="paragraph" w:styleId="19">
    <w:name w:val="List Paragraph"/>
    <w:basedOn w:val="1"/>
    <w:qFormat/>
    <w:uiPriority w:val="34"/>
    <w:pPr>
      <w:ind w:firstLine="420" w:firstLineChars="200"/>
    </w:pPr>
    <w:rPr>
      <w:rFonts w:ascii="Calibri" w:hAnsi="Calibri"/>
      <w:szCs w:val="22"/>
    </w:rPr>
  </w:style>
  <w:style w:type="paragraph" w:customStyle="1" w:styleId="20">
    <w:name w:val="Body text|1"/>
    <w:basedOn w:val="1"/>
    <w:qFormat/>
    <w:uiPriority w:val="0"/>
    <w:pPr>
      <w:spacing w:line="422" w:lineRule="auto"/>
      <w:ind w:firstLine="360"/>
    </w:pPr>
    <w:rPr>
      <w:rFonts w:ascii="宋体" w:hAnsi="宋体" w:eastAsia="宋体" w:cs="宋体"/>
      <w:sz w:val="18"/>
      <w:szCs w:val="18"/>
      <w:lang w:val="zh-TW" w:eastAsia="zh-TW" w:bidi="zh-TW"/>
    </w:rPr>
  </w:style>
  <w:style w:type="paragraph" w:customStyle="1" w:styleId="21">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22">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10107</Words>
  <Characters>11666</Characters>
  <Lines>0</Lines>
  <Paragraphs>0</Paragraphs>
  <TotalTime>3</TotalTime>
  <ScaleCrop>false</ScaleCrop>
  <LinksUpToDate>false</LinksUpToDate>
  <CharactersWithSpaces>11938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2022-06-10T03:02:00Z</dcterms:created>
  <dc:creator>Rebecca</dc:creator>
  <cp:lastModifiedBy>Rebecca</cp:lastModifiedBy>
  <dcterms:modified xsi:type="dcterms:W3CDTF">2022-06-14T03:16:35Z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458626D67B3B47FBBC1232D4543C5235</vt:lpwstr>
  </property>
</Properties>
</file>