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hint="eastAsia"/>
          <w:sz w:val="28"/>
          <w:szCs w:val="28"/>
          <w:lang w:val="en-US" w:eastAsia="zh-CN"/>
        </w:rPr>
      </w:pPr>
      <w:r>
        <w:rPr>
          <w:rFonts w:hint="eastAsia"/>
          <w:sz w:val="28"/>
          <w:szCs w:val="28"/>
          <w:lang w:val="en-US" w:eastAsia="zh-CN"/>
        </w:rPr>
        <w:t>报价单</w:t>
      </w:r>
    </w:p>
    <w:p>
      <w:pPr>
        <w:ind w:firstLine="560" w:firstLineChars="200"/>
        <w:jc w:val="both"/>
        <w:rPr>
          <w:rFonts w:hint="eastAsia"/>
          <w:sz w:val="28"/>
          <w:szCs w:val="28"/>
          <w:lang w:val="en-US" w:eastAsia="zh-CN"/>
        </w:rPr>
      </w:pPr>
      <w:r>
        <w:rPr>
          <w:rFonts w:hint="eastAsia"/>
          <w:sz w:val="28"/>
          <w:szCs w:val="28"/>
          <w:lang w:val="en-US" w:eastAsia="zh-CN"/>
        </w:rPr>
        <w:t>至中山市小榄人民医院：</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rPr>
                <w:rFonts w:hint="default"/>
                <w:sz w:val="28"/>
                <w:szCs w:val="28"/>
                <w:vertAlign w:val="baseline"/>
                <w:lang w:val="en-US" w:eastAsia="zh-CN"/>
              </w:rPr>
            </w:pPr>
            <w:r>
              <w:rPr>
                <w:rFonts w:hint="eastAsia"/>
                <w:sz w:val="28"/>
                <w:szCs w:val="28"/>
                <w:vertAlign w:val="baseline"/>
                <w:lang w:val="en-US" w:eastAsia="zh-CN"/>
              </w:rPr>
              <w:t>名称</w:t>
            </w:r>
          </w:p>
        </w:tc>
        <w:tc>
          <w:tcPr>
            <w:tcW w:w="1065" w:type="dxa"/>
          </w:tcPr>
          <w:p>
            <w:pPr>
              <w:jc w:val="center"/>
              <w:rPr>
                <w:rFonts w:hint="default"/>
                <w:sz w:val="28"/>
                <w:szCs w:val="28"/>
                <w:vertAlign w:val="baseline"/>
                <w:lang w:val="en-US" w:eastAsia="zh-CN"/>
              </w:rPr>
            </w:pPr>
            <w:r>
              <w:rPr>
                <w:rFonts w:hint="eastAsia"/>
                <w:sz w:val="28"/>
                <w:szCs w:val="28"/>
                <w:vertAlign w:val="baseline"/>
                <w:lang w:val="en-US" w:eastAsia="zh-CN"/>
              </w:rPr>
              <w:t>数量</w:t>
            </w:r>
          </w:p>
        </w:tc>
        <w:tc>
          <w:tcPr>
            <w:tcW w:w="1065" w:type="dxa"/>
          </w:tcPr>
          <w:p>
            <w:pPr>
              <w:jc w:val="center"/>
              <w:rPr>
                <w:rFonts w:hint="default"/>
                <w:sz w:val="28"/>
                <w:szCs w:val="28"/>
                <w:vertAlign w:val="baseline"/>
                <w:lang w:val="en-US" w:eastAsia="zh-CN"/>
              </w:rPr>
            </w:pPr>
            <w:r>
              <w:rPr>
                <w:rFonts w:hint="eastAsia"/>
                <w:sz w:val="28"/>
                <w:szCs w:val="28"/>
                <w:vertAlign w:val="baseline"/>
                <w:lang w:val="en-US" w:eastAsia="zh-CN"/>
              </w:rPr>
              <w:t>单位</w:t>
            </w:r>
          </w:p>
        </w:tc>
        <w:tc>
          <w:tcPr>
            <w:tcW w:w="1065" w:type="dxa"/>
          </w:tcPr>
          <w:p>
            <w:pPr>
              <w:jc w:val="center"/>
              <w:rPr>
                <w:rFonts w:hint="default"/>
                <w:sz w:val="28"/>
                <w:szCs w:val="28"/>
                <w:vertAlign w:val="baseline"/>
                <w:lang w:val="en-US" w:eastAsia="zh-CN"/>
              </w:rPr>
            </w:pPr>
            <w:r>
              <w:rPr>
                <w:rFonts w:hint="eastAsia"/>
                <w:sz w:val="28"/>
                <w:szCs w:val="28"/>
                <w:vertAlign w:val="baseline"/>
                <w:lang w:val="en-US" w:eastAsia="zh-CN"/>
              </w:rPr>
              <w:t>型号</w:t>
            </w:r>
          </w:p>
        </w:tc>
        <w:tc>
          <w:tcPr>
            <w:tcW w:w="1065" w:type="dxa"/>
          </w:tcPr>
          <w:p>
            <w:pPr>
              <w:jc w:val="center"/>
              <w:rPr>
                <w:rFonts w:hint="default"/>
                <w:sz w:val="28"/>
                <w:szCs w:val="28"/>
                <w:vertAlign w:val="baseline"/>
                <w:lang w:val="en-US" w:eastAsia="zh-CN"/>
              </w:rPr>
            </w:pPr>
            <w:r>
              <w:rPr>
                <w:rFonts w:hint="eastAsia"/>
                <w:sz w:val="28"/>
                <w:szCs w:val="28"/>
                <w:vertAlign w:val="baseline"/>
                <w:lang w:val="en-US" w:eastAsia="zh-CN"/>
              </w:rPr>
              <w:t>产地</w:t>
            </w:r>
          </w:p>
        </w:tc>
        <w:tc>
          <w:tcPr>
            <w:tcW w:w="1065" w:type="dxa"/>
            <w:vAlign w:val="top"/>
          </w:tcPr>
          <w:p>
            <w:pPr>
              <w:jc w:val="cente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质保期</w:t>
            </w:r>
          </w:p>
        </w:tc>
        <w:tc>
          <w:tcPr>
            <w:tcW w:w="1066" w:type="dxa"/>
            <w:vAlign w:val="top"/>
          </w:tcPr>
          <w:p>
            <w:pPr>
              <w:jc w:val="cente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单价</w:t>
            </w:r>
          </w:p>
        </w:tc>
        <w:tc>
          <w:tcPr>
            <w:tcW w:w="1066" w:type="dxa"/>
          </w:tcPr>
          <w:p>
            <w:pPr>
              <w:jc w:val="center"/>
              <w:rPr>
                <w:rFonts w:hint="default"/>
                <w:sz w:val="28"/>
                <w:szCs w:val="28"/>
                <w:vertAlign w:val="baseline"/>
                <w:lang w:val="en-US" w:eastAsia="zh-CN"/>
              </w:rPr>
            </w:pPr>
            <w:r>
              <w:rPr>
                <w:rFonts w:hint="eastAsia"/>
                <w:sz w:val="28"/>
                <w:szCs w:val="28"/>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center"/>
              <w:rPr>
                <w:rFonts w:hint="default"/>
                <w:sz w:val="28"/>
                <w:szCs w:val="28"/>
                <w:vertAlign w:val="baseline"/>
                <w:lang w:val="en-US" w:eastAsia="zh-CN"/>
              </w:rPr>
            </w:pPr>
          </w:p>
        </w:tc>
        <w:tc>
          <w:tcPr>
            <w:tcW w:w="1065" w:type="dxa"/>
          </w:tcPr>
          <w:p>
            <w:pPr>
              <w:jc w:val="center"/>
              <w:rPr>
                <w:rFonts w:hint="default"/>
                <w:sz w:val="28"/>
                <w:szCs w:val="28"/>
                <w:vertAlign w:val="baseline"/>
                <w:lang w:val="en-US" w:eastAsia="zh-CN"/>
              </w:rPr>
            </w:pPr>
          </w:p>
        </w:tc>
        <w:tc>
          <w:tcPr>
            <w:tcW w:w="1065" w:type="dxa"/>
          </w:tcPr>
          <w:p>
            <w:pPr>
              <w:jc w:val="center"/>
              <w:rPr>
                <w:rFonts w:hint="default"/>
                <w:sz w:val="28"/>
                <w:szCs w:val="28"/>
                <w:vertAlign w:val="baseline"/>
                <w:lang w:val="en-US" w:eastAsia="zh-CN"/>
              </w:rPr>
            </w:pPr>
          </w:p>
        </w:tc>
        <w:tc>
          <w:tcPr>
            <w:tcW w:w="1065" w:type="dxa"/>
          </w:tcPr>
          <w:p>
            <w:pPr>
              <w:jc w:val="center"/>
              <w:rPr>
                <w:rFonts w:hint="default"/>
                <w:sz w:val="28"/>
                <w:szCs w:val="28"/>
                <w:vertAlign w:val="baseline"/>
                <w:lang w:val="en-US" w:eastAsia="zh-CN"/>
              </w:rPr>
            </w:pPr>
          </w:p>
        </w:tc>
        <w:tc>
          <w:tcPr>
            <w:tcW w:w="1065" w:type="dxa"/>
          </w:tcPr>
          <w:p>
            <w:pPr>
              <w:jc w:val="center"/>
              <w:rPr>
                <w:rFonts w:hint="default"/>
                <w:sz w:val="28"/>
                <w:szCs w:val="28"/>
                <w:vertAlign w:val="baseline"/>
                <w:lang w:val="en-US" w:eastAsia="zh-CN"/>
              </w:rPr>
            </w:pPr>
          </w:p>
        </w:tc>
        <w:tc>
          <w:tcPr>
            <w:tcW w:w="1065" w:type="dxa"/>
          </w:tcPr>
          <w:p>
            <w:pPr>
              <w:jc w:val="center"/>
              <w:rPr>
                <w:rFonts w:hint="default"/>
                <w:sz w:val="28"/>
                <w:szCs w:val="28"/>
                <w:vertAlign w:val="baseline"/>
                <w:lang w:val="en-US" w:eastAsia="zh-CN"/>
              </w:rPr>
            </w:pPr>
          </w:p>
        </w:tc>
        <w:tc>
          <w:tcPr>
            <w:tcW w:w="1066" w:type="dxa"/>
          </w:tcPr>
          <w:p>
            <w:pPr>
              <w:jc w:val="center"/>
              <w:rPr>
                <w:rFonts w:hint="default"/>
                <w:sz w:val="28"/>
                <w:szCs w:val="28"/>
                <w:vertAlign w:val="baseline"/>
                <w:lang w:val="en-US" w:eastAsia="zh-CN"/>
              </w:rPr>
            </w:pPr>
          </w:p>
        </w:tc>
        <w:tc>
          <w:tcPr>
            <w:tcW w:w="1066" w:type="dxa"/>
          </w:tcPr>
          <w:p>
            <w:pPr>
              <w:jc w:val="center"/>
              <w:rPr>
                <w:rFonts w:hint="default"/>
                <w:sz w:val="28"/>
                <w:szCs w:val="28"/>
                <w:vertAlign w:val="baseline"/>
                <w:lang w:val="en-US" w:eastAsia="zh-CN"/>
              </w:rPr>
            </w:pPr>
          </w:p>
        </w:tc>
      </w:tr>
    </w:tbl>
    <w:p>
      <w:pPr>
        <w:ind w:firstLine="560" w:firstLineChars="200"/>
        <w:jc w:val="both"/>
        <w:rPr>
          <w:rFonts w:hint="eastAsia"/>
          <w:sz w:val="28"/>
          <w:szCs w:val="28"/>
          <w:lang w:val="en-US" w:eastAsia="zh-CN"/>
        </w:rPr>
      </w:pPr>
      <w:r>
        <w:rPr>
          <w:rFonts w:hint="eastAsia"/>
          <w:sz w:val="28"/>
          <w:szCs w:val="28"/>
          <w:lang w:val="en-US" w:eastAsia="zh-CN"/>
        </w:rPr>
        <w:t>耗材报价单：</w:t>
      </w:r>
    </w:p>
    <w:tbl>
      <w:tblPr>
        <w:tblStyle w:val="3"/>
        <w:tblW w:w="9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016"/>
        <w:gridCol w:w="1289"/>
        <w:gridCol w:w="1005"/>
        <w:gridCol w:w="910"/>
        <w:gridCol w:w="1111"/>
        <w:gridCol w:w="1179"/>
        <w:gridCol w:w="998"/>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trPr>
        <w:tc>
          <w:tcPr>
            <w:tcW w:w="889" w:type="dxa"/>
          </w:tcPr>
          <w:p>
            <w:pPr>
              <w:jc w:val="both"/>
              <w:rPr>
                <w:rFonts w:hint="default"/>
                <w:sz w:val="28"/>
                <w:szCs w:val="28"/>
                <w:vertAlign w:val="baseline"/>
                <w:lang w:val="en-US" w:eastAsia="zh-CN"/>
              </w:rPr>
            </w:pPr>
            <w:r>
              <w:rPr>
                <w:rFonts w:hint="eastAsia"/>
                <w:sz w:val="28"/>
                <w:szCs w:val="28"/>
                <w:vertAlign w:val="baseline"/>
                <w:lang w:val="en-US" w:eastAsia="zh-CN"/>
              </w:rPr>
              <w:t>产品名称</w:t>
            </w:r>
          </w:p>
        </w:tc>
        <w:tc>
          <w:tcPr>
            <w:tcW w:w="1016" w:type="dxa"/>
          </w:tcPr>
          <w:p>
            <w:pPr>
              <w:jc w:val="both"/>
              <w:rPr>
                <w:rFonts w:hint="default"/>
                <w:sz w:val="28"/>
                <w:szCs w:val="28"/>
                <w:vertAlign w:val="baseline"/>
                <w:lang w:val="en-US" w:eastAsia="zh-CN"/>
              </w:rPr>
            </w:pPr>
            <w:r>
              <w:rPr>
                <w:rFonts w:hint="eastAsia"/>
                <w:sz w:val="28"/>
                <w:szCs w:val="28"/>
                <w:vertAlign w:val="baseline"/>
                <w:lang w:val="en-US" w:eastAsia="zh-CN"/>
              </w:rPr>
              <w:t>规格型号</w:t>
            </w:r>
          </w:p>
        </w:tc>
        <w:tc>
          <w:tcPr>
            <w:tcW w:w="1289" w:type="dxa"/>
          </w:tcPr>
          <w:p>
            <w:pPr>
              <w:jc w:val="both"/>
              <w:rPr>
                <w:rFonts w:hint="default"/>
                <w:sz w:val="28"/>
                <w:szCs w:val="28"/>
                <w:vertAlign w:val="baseline"/>
                <w:lang w:val="en-US" w:eastAsia="zh-CN"/>
              </w:rPr>
            </w:pPr>
            <w:r>
              <w:rPr>
                <w:rFonts w:hint="eastAsia"/>
                <w:sz w:val="28"/>
                <w:szCs w:val="28"/>
                <w:vertAlign w:val="baseline"/>
                <w:lang w:val="en-US" w:eastAsia="zh-CN"/>
              </w:rPr>
              <w:t>产品注册证号</w:t>
            </w:r>
          </w:p>
        </w:tc>
        <w:tc>
          <w:tcPr>
            <w:tcW w:w="1005" w:type="dxa"/>
          </w:tcPr>
          <w:p>
            <w:pPr>
              <w:jc w:val="both"/>
              <w:rPr>
                <w:rFonts w:hint="default"/>
                <w:sz w:val="28"/>
                <w:szCs w:val="28"/>
                <w:vertAlign w:val="baseline"/>
                <w:lang w:val="en-US" w:eastAsia="zh-CN"/>
              </w:rPr>
            </w:pPr>
            <w:r>
              <w:rPr>
                <w:rFonts w:hint="eastAsia"/>
                <w:sz w:val="28"/>
                <w:szCs w:val="28"/>
                <w:vertAlign w:val="baseline"/>
                <w:lang w:val="en-US" w:eastAsia="zh-CN"/>
              </w:rPr>
              <w:t>药交ID</w:t>
            </w:r>
          </w:p>
        </w:tc>
        <w:tc>
          <w:tcPr>
            <w:tcW w:w="910" w:type="dxa"/>
          </w:tcPr>
          <w:p>
            <w:pPr>
              <w:jc w:val="both"/>
              <w:rPr>
                <w:rFonts w:hint="eastAsia"/>
                <w:sz w:val="28"/>
                <w:szCs w:val="28"/>
                <w:vertAlign w:val="baseline"/>
                <w:lang w:val="en-US" w:eastAsia="zh-CN"/>
              </w:rPr>
            </w:pPr>
            <w:r>
              <w:rPr>
                <w:rFonts w:hint="eastAsia"/>
                <w:sz w:val="28"/>
                <w:szCs w:val="28"/>
                <w:vertAlign w:val="baseline"/>
                <w:lang w:val="en-US" w:eastAsia="zh-CN"/>
              </w:rPr>
              <w:t>产品编码</w:t>
            </w:r>
          </w:p>
        </w:tc>
        <w:tc>
          <w:tcPr>
            <w:tcW w:w="1111" w:type="dxa"/>
          </w:tcPr>
          <w:p>
            <w:pPr>
              <w:jc w:val="both"/>
              <w:rPr>
                <w:rFonts w:hint="eastAsia"/>
                <w:sz w:val="28"/>
                <w:szCs w:val="28"/>
                <w:vertAlign w:val="baseline"/>
                <w:lang w:val="en-US" w:eastAsia="zh-CN"/>
              </w:rPr>
            </w:pPr>
            <w:r>
              <w:rPr>
                <w:rFonts w:hint="eastAsia"/>
                <w:sz w:val="28"/>
                <w:szCs w:val="28"/>
                <w:vertAlign w:val="baseline"/>
                <w:lang w:val="en-US" w:eastAsia="zh-CN"/>
              </w:rPr>
              <w:t>国家医保耗材代码</w:t>
            </w:r>
          </w:p>
        </w:tc>
        <w:tc>
          <w:tcPr>
            <w:tcW w:w="1179" w:type="dxa"/>
          </w:tcPr>
          <w:p>
            <w:pPr>
              <w:jc w:val="both"/>
              <w:rPr>
                <w:rFonts w:hint="eastAsia"/>
                <w:sz w:val="28"/>
                <w:szCs w:val="28"/>
                <w:vertAlign w:val="baseline"/>
                <w:lang w:val="en-US" w:eastAsia="zh-CN"/>
              </w:rPr>
            </w:pPr>
            <w:r>
              <w:rPr>
                <w:rFonts w:hint="eastAsia"/>
                <w:sz w:val="28"/>
                <w:szCs w:val="28"/>
                <w:vertAlign w:val="baseline"/>
                <w:lang w:val="en-US" w:eastAsia="zh-CN"/>
              </w:rPr>
              <w:t>广东省平台联盟区限价</w:t>
            </w:r>
          </w:p>
        </w:tc>
        <w:tc>
          <w:tcPr>
            <w:tcW w:w="998" w:type="dxa"/>
          </w:tcPr>
          <w:p>
            <w:pPr>
              <w:jc w:val="both"/>
              <w:rPr>
                <w:rFonts w:hint="eastAsia"/>
                <w:sz w:val="28"/>
                <w:szCs w:val="28"/>
                <w:vertAlign w:val="baseline"/>
                <w:lang w:val="en-US" w:eastAsia="zh-CN"/>
              </w:rPr>
            </w:pPr>
            <w:r>
              <w:rPr>
                <w:rFonts w:hint="eastAsia"/>
                <w:sz w:val="28"/>
                <w:szCs w:val="28"/>
                <w:vertAlign w:val="baseline"/>
                <w:lang w:val="en-US" w:eastAsia="zh-CN"/>
              </w:rPr>
              <w:t>供应商报价</w:t>
            </w:r>
          </w:p>
        </w:tc>
        <w:tc>
          <w:tcPr>
            <w:tcW w:w="998" w:type="dxa"/>
          </w:tcPr>
          <w:p>
            <w:pPr>
              <w:jc w:val="both"/>
              <w:rPr>
                <w:rFonts w:hint="eastAsia"/>
                <w:sz w:val="28"/>
                <w:szCs w:val="28"/>
                <w:vertAlign w:val="baseline"/>
                <w:lang w:val="en-US" w:eastAsia="zh-CN"/>
              </w:rPr>
            </w:pPr>
            <w:r>
              <w:rPr>
                <w:rFonts w:hint="eastAsia"/>
                <w:sz w:val="28"/>
                <w:szCs w:val="28"/>
                <w:vertAlign w:val="baseline"/>
                <w:lang w:val="en-US" w:eastAsia="zh-CN"/>
              </w:rPr>
              <w:t>是否为专机专用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89" w:type="dxa"/>
          </w:tcPr>
          <w:p>
            <w:pPr>
              <w:jc w:val="both"/>
              <w:rPr>
                <w:rFonts w:hint="default"/>
                <w:sz w:val="28"/>
                <w:szCs w:val="28"/>
                <w:vertAlign w:val="baseline"/>
                <w:lang w:val="en-US" w:eastAsia="zh-CN"/>
              </w:rPr>
            </w:pPr>
          </w:p>
        </w:tc>
        <w:tc>
          <w:tcPr>
            <w:tcW w:w="1016" w:type="dxa"/>
          </w:tcPr>
          <w:p>
            <w:pPr>
              <w:jc w:val="both"/>
              <w:rPr>
                <w:rFonts w:hint="default"/>
                <w:sz w:val="28"/>
                <w:szCs w:val="28"/>
                <w:vertAlign w:val="baseline"/>
                <w:lang w:val="en-US" w:eastAsia="zh-CN"/>
              </w:rPr>
            </w:pPr>
          </w:p>
        </w:tc>
        <w:tc>
          <w:tcPr>
            <w:tcW w:w="1289" w:type="dxa"/>
          </w:tcPr>
          <w:p>
            <w:pPr>
              <w:jc w:val="both"/>
              <w:rPr>
                <w:rFonts w:hint="default"/>
                <w:sz w:val="28"/>
                <w:szCs w:val="28"/>
                <w:vertAlign w:val="baseline"/>
                <w:lang w:val="en-US" w:eastAsia="zh-CN"/>
              </w:rPr>
            </w:pPr>
          </w:p>
        </w:tc>
        <w:tc>
          <w:tcPr>
            <w:tcW w:w="1005" w:type="dxa"/>
          </w:tcPr>
          <w:p>
            <w:pPr>
              <w:jc w:val="both"/>
              <w:rPr>
                <w:rFonts w:hint="default"/>
                <w:sz w:val="28"/>
                <w:szCs w:val="28"/>
                <w:vertAlign w:val="baseline"/>
                <w:lang w:val="en-US" w:eastAsia="zh-CN"/>
              </w:rPr>
            </w:pPr>
          </w:p>
        </w:tc>
        <w:tc>
          <w:tcPr>
            <w:tcW w:w="910" w:type="dxa"/>
          </w:tcPr>
          <w:p>
            <w:pPr>
              <w:jc w:val="both"/>
              <w:rPr>
                <w:rFonts w:hint="default"/>
                <w:sz w:val="28"/>
                <w:szCs w:val="28"/>
                <w:vertAlign w:val="baseline"/>
                <w:lang w:val="en-US" w:eastAsia="zh-CN"/>
              </w:rPr>
            </w:pPr>
          </w:p>
        </w:tc>
        <w:tc>
          <w:tcPr>
            <w:tcW w:w="1111" w:type="dxa"/>
          </w:tcPr>
          <w:p>
            <w:pPr>
              <w:jc w:val="both"/>
              <w:rPr>
                <w:rFonts w:hint="default"/>
                <w:sz w:val="28"/>
                <w:szCs w:val="28"/>
                <w:vertAlign w:val="baseline"/>
                <w:lang w:val="en-US" w:eastAsia="zh-CN"/>
              </w:rPr>
            </w:pPr>
          </w:p>
        </w:tc>
        <w:tc>
          <w:tcPr>
            <w:tcW w:w="1179" w:type="dxa"/>
          </w:tcPr>
          <w:p>
            <w:pPr>
              <w:jc w:val="both"/>
              <w:rPr>
                <w:rFonts w:hint="default"/>
                <w:sz w:val="28"/>
                <w:szCs w:val="28"/>
                <w:vertAlign w:val="baseline"/>
                <w:lang w:val="en-US" w:eastAsia="zh-CN"/>
              </w:rPr>
            </w:pPr>
          </w:p>
        </w:tc>
        <w:tc>
          <w:tcPr>
            <w:tcW w:w="998" w:type="dxa"/>
          </w:tcPr>
          <w:p>
            <w:pPr>
              <w:jc w:val="both"/>
              <w:rPr>
                <w:rFonts w:hint="default"/>
                <w:sz w:val="28"/>
                <w:szCs w:val="28"/>
                <w:vertAlign w:val="baseline"/>
                <w:lang w:val="en-US" w:eastAsia="zh-CN"/>
              </w:rPr>
            </w:pPr>
          </w:p>
        </w:tc>
        <w:tc>
          <w:tcPr>
            <w:tcW w:w="998" w:type="dxa"/>
          </w:tcPr>
          <w:p>
            <w:pPr>
              <w:jc w:val="both"/>
              <w:rPr>
                <w:rFonts w:hint="default"/>
                <w:sz w:val="28"/>
                <w:szCs w:val="28"/>
                <w:vertAlign w:val="baseline"/>
                <w:lang w:val="en-US" w:eastAsia="zh-CN"/>
              </w:rPr>
            </w:pPr>
          </w:p>
        </w:tc>
      </w:tr>
    </w:tbl>
    <w:p>
      <w:pPr>
        <w:ind w:firstLine="5040" w:firstLineChars="1800"/>
        <w:jc w:val="both"/>
        <w:rPr>
          <w:rFonts w:hint="default"/>
          <w:sz w:val="28"/>
          <w:szCs w:val="28"/>
          <w:lang w:val="en-US" w:eastAsia="zh-CN"/>
        </w:rPr>
      </w:pPr>
      <w:r>
        <w:rPr>
          <w:rFonts w:hint="eastAsia"/>
          <w:sz w:val="28"/>
          <w:szCs w:val="28"/>
          <w:lang w:val="en-US" w:eastAsia="zh-CN"/>
        </w:rPr>
        <w:t>报价有效期：</w:t>
      </w:r>
      <w:r>
        <w:rPr>
          <w:rFonts w:hint="eastAsia"/>
          <w:sz w:val="28"/>
          <w:szCs w:val="28"/>
          <w:u w:val="single"/>
          <w:lang w:val="en-US" w:eastAsia="zh-CN"/>
        </w:rPr>
        <w:t xml:space="preserve">  </w:t>
      </w:r>
      <w:r>
        <w:rPr>
          <w:rFonts w:hint="eastAsia"/>
          <w:sz w:val="28"/>
          <w:szCs w:val="28"/>
          <w:lang w:val="en-US" w:eastAsia="zh-CN"/>
        </w:rPr>
        <w:t xml:space="preserve">天    </w:t>
      </w:r>
    </w:p>
    <w:p>
      <w:pPr>
        <w:ind w:firstLine="560" w:firstLineChars="200"/>
        <w:jc w:val="both"/>
        <w:rPr>
          <w:rFonts w:hint="eastAsia"/>
          <w:sz w:val="28"/>
          <w:szCs w:val="28"/>
          <w:lang w:val="en-US" w:eastAsia="zh-CN"/>
        </w:rPr>
      </w:pPr>
      <w:r>
        <w:rPr>
          <w:rFonts w:hint="eastAsia"/>
          <w:sz w:val="28"/>
          <w:szCs w:val="28"/>
          <w:lang w:val="en-US" w:eastAsia="zh-CN"/>
        </w:rPr>
        <w:t xml:space="preserve">                                报价公司（盖章）：</w:t>
      </w:r>
    </w:p>
    <w:p>
      <w:pPr>
        <w:ind w:firstLine="560" w:firstLineChars="200"/>
        <w:jc w:val="both"/>
        <w:rPr>
          <w:rFonts w:hint="eastAsia"/>
          <w:sz w:val="28"/>
          <w:szCs w:val="28"/>
          <w:lang w:val="en-US" w:eastAsia="zh-CN"/>
        </w:rPr>
      </w:pPr>
      <w:r>
        <w:rPr>
          <w:rFonts w:hint="eastAsia"/>
          <w:sz w:val="28"/>
          <w:szCs w:val="28"/>
          <w:lang w:val="en-US" w:eastAsia="zh-CN"/>
        </w:rPr>
        <w:t xml:space="preserve">                                报价联系人：</w:t>
      </w:r>
    </w:p>
    <w:p>
      <w:pPr>
        <w:ind w:firstLine="560" w:firstLineChars="200"/>
        <w:jc w:val="both"/>
        <w:rPr>
          <w:rFonts w:hint="eastAsia"/>
          <w:sz w:val="28"/>
          <w:szCs w:val="28"/>
          <w:lang w:val="en-US" w:eastAsia="zh-CN"/>
        </w:rPr>
      </w:pPr>
      <w:r>
        <w:rPr>
          <w:rFonts w:hint="eastAsia"/>
          <w:sz w:val="28"/>
          <w:szCs w:val="28"/>
          <w:lang w:val="en-US" w:eastAsia="zh-CN"/>
        </w:rPr>
        <w:t xml:space="preserve">                                联系方式：</w:t>
      </w:r>
    </w:p>
    <w:p>
      <w:pPr>
        <w:ind w:firstLine="560" w:firstLineChars="200"/>
        <w:jc w:val="both"/>
        <w:rPr>
          <w:rFonts w:hint="eastAsia"/>
          <w:sz w:val="28"/>
          <w:szCs w:val="28"/>
          <w:lang w:val="en-US" w:eastAsia="zh-CN"/>
        </w:rPr>
      </w:pPr>
      <w:r>
        <w:rPr>
          <w:rFonts w:hint="eastAsia"/>
          <w:sz w:val="28"/>
          <w:szCs w:val="28"/>
          <w:lang w:val="en-US" w:eastAsia="zh-CN"/>
        </w:rPr>
        <w:t xml:space="preserve">                                报价时间：</w:t>
      </w: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p>
    <w:p>
      <w:pPr>
        <w:ind w:firstLine="480" w:firstLineChars="200"/>
        <w:jc w:val="both"/>
        <w:rPr>
          <w:rFonts w:hint="eastAsia"/>
          <w:sz w:val="24"/>
          <w:szCs w:val="24"/>
          <w:lang w:val="en-US" w:eastAsia="zh-CN"/>
        </w:rPr>
      </w:pPr>
      <w:r>
        <w:rPr>
          <w:rFonts w:hint="eastAsia"/>
          <w:sz w:val="24"/>
          <w:szCs w:val="24"/>
          <w:lang w:val="en-US" w:eastAsia="zh-CN"/>
        </w:rPr>
        <w:t>所需资料如下：</w:t>
      </w:r>
    </w:p>
    <w:p>
      <w:pPr>
        <w:numPr>
          <w:ilvl w:val="0"/>
          <w:numId w:val="1"/>
        </w:numPr>
        <w:ind w:firstLine="480" w:firstLineChars="200"/>
        <w:jc w:val="both"/>
        <w:rPr>
          <w:rFonts w:hint="eastAsia"/>
          <w:sz w:val="24"/>
          <w:szCs w:val="24"/>
          <w:lang w:val="en-US" w:eastAsia="zh-CN"/>
        </w:rPr>
      </w:pPr>
      <w:r>
        <w:rPr>
          <w:rFonts w:hint="eastAsia"/>
          <w:sz w:val="24"/>
          <w:szCs w:val="24"/>
          <w:lang w:val="en-US" w:eastAsia="zh-CN"/>
        </w:rPr>
        <w:t>贵公司资质（营业执照、医疗器械经营许可证/备案凭证）</w:t>
      </w:r>
    </w:p>
    <w:p>
      <w:pPr>
        <w:numPr>
          <w:ilvl w:val="0"/>
          <w:numId w:val="1"/>
        </w:numPr>
        <w:ind w:firstLine="480" w:firstLineChars="200"/>
        <w:jc w:val="both"/>
        <w:rPr>
          <w:rFonts w:hint="default"/>
          <w:sz w:val="24"/>
          <w:szCs w:val="24"/>
          <w:lang w:val="en-US" w:eastAsia="zh-CN"/>
        </w:rPr>
      </w:pPr>
      <w:r>
        <w:rPr>
          <w:rFonts w:hint="eastAsia"/>
          <w:sz w:val="24"/>
          <w:szCs w:val="24"/>
          <w:lang w:val="en-US" w:eastAsia="zh-CN"/>
        </w:rPr>
        <w:t>所报产品的详细技术参数、配置清单、医疗器械注册证</w:t>
      </w:r>
    </w:p>
    <w:p>
      <w:pPr>
        <w:numPr>
          <w:ilvl w:val="0"/>
          <w:numId w:val="1"/>
        </w:numPr>
        <w:ind w:firstLine="480" w:firstLineChars="200"/>
        <w:jc w:val="both"/>
        <w:rPr>
          <w:rFonts w:hint="default"/>
          <w:sz w:val="24"/>
          <w:szCs w:val="24"/>
          <w:lang w:val="en-US" w:eastAsia="zh-CN"/>
        </w:rPr>
      </w:pPr>
      <w:r>
        <w:rPr>
          <w:rFonts w:hint="eastAsia"/>
          <w:sz w:val="24"/>
          <w:szCs w:val="24"/>
          <w:lang w:val="en-US" w:eastAsia="zh-CN"/>
        </w:rPr>
        <w:t>厂家资质（营业执照、医疗器械生产许可证、医疗器械生产登记表）</w:t>
      </w:r>
    </w:p>
    <w:p>
      <w:pPr>
        <w:numPr>
          <w:ilvl w:val="0"/>
          <w:numId w:val="0"/>
        </w:numPr>
        <w:jc w:val="both"/>
        <w:rPr>
          <w:rFonts w:hint="default"/>
          <w:sz w:val="24"/>
          <w:szCs w:val="24"/>
          <w:lang w:val="en-US" w:eastAsia="zh-CN"/>
        </w:rPr>
      </w:pPr>
      <w:r>
        <w:rPr>
          <w:rFonts w:hint="eastAsia"/>
          <w:sz w:val="24"/>
          <w:szCs w:val="24"/>
          <w:lang w:val="en-US" w:eastAsia="zh-CN"/>
        </w:rPr>
        <w:t xml:space="preserve">    注：上述材料需贵公司盖章。</w:t>
      </w:r>
    </w:p>
    <w:p>
      <w:pPr>
        <w:sectPr>
          <w:pgSz w:w="11906" w:h="16838"/>
          <w:pgMar w:top="1440" w:right="1800" w:bottom="1440" w:left="1800" w:header="851" w:footer="992" w:gutter="0"/>
          <w:cols w:space="425" w:num="1"/>
          <w:docGrid w:type="lines" w:linePitch="312" w:charSpace="0"/>
        </w:sectPr>
      </w:pPr>
    </w:p>
    <w:p>
      <w:pPr>
        <w:jc w:val="center"/>
        <w:rPr>
          <w:rFonts w:hint="eastAsia"/>
          <w:sz w:val="36"/>
          <w:szCs w:val="44"/>
          <w:lang w:eastAsia="zh-CN"/>
        </w:rPr>
      </w:pPr>
      <w:r>
        <w:rPr>
          <w:rFonts w:hint="eastAsia"/>
          <w:sz w:val="36"/>
          <w:szCs w:val="44"/>
          <w:lang w:eastAsia="zh-CN"/>
        </w:rPr>
        <w:t>参数偏离表</w:t>
      </w:r>
    </w:p>
    <w:tbl>
      <w:tblPr>
        <w:tblStyle w:val="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291"/>
        <w:gridCol w:w="2708"/>
        <w:gridCol w:w="4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6291" w:type="dxa"/>
          </w:tcPr>
          <w:p>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参数要求</w:t>
            </w:r>
          </w:p>
        </w:tc>
        <w:tc>
          <w:tcPr>
            <w:tcW w:w="2708" w:type="dxa"/>
          </w:tcPr>
          <w:p>
            <w:pPr>
              <w:spacing w:line="440" w:lineRule="exact"/>
              <w:jc w:val="center"/>
              <w:rPr>
                <w:rFonts w:hint="eastAsia" w:ascii="宋体" w:hAnsi="宋体" w:eastAsiaTheme="minorEastAsia"/>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正</w:t>
            </w:r>
            <w:r>
              <w:rPr>
                <w:rFonts w:hint="eastAsia" w:ascii="宋体" w:hAnsi="宋体"/>
                <w:color w:val="000000" w:themeColor="text1"/>
                <w:szCs w:val="21"/>
                <w:lang w:val="en-US" w:eastAsia="zh-CN"/>
                <w14:textFill>
                  <w14:solidFill>
                    <w14:schemeClr w14:val="tx1"/>
                  </w14:solidFill>
                </w14:textFill>
              </w:rPr>
              <w:t>/无/负</w:t>
            </w:r>
            <w:r>
              <w:rPr>
                <w:rFonts w:hint="eastAsia" w:ascii="宋体" w:hAnsi="宋体"/>
                <w:color w:val="000000" w:themeColor="text1"/>
                <w:szCs w:val="21"/>
                <w:lang w:eastAsia="zh-CN"/>
                <w14:textFill>
                  <w14:solidFill>
                    <w14:schemeClr w14:val="tx1"/>
                  </w14:solidFill>
                </w14:textFill>
              </w:rPr>
              <w:t>偏离</w:t>
            </w:r>
          </w:p>
        </w:tc>
        <w:tc>
          <w:tcPr>
            <w:tcW w:w="4499" w:type="dxa"/>
          </w:tcPr>
          <w:p>
            <w:pPr>
              <w:spacing w:line="440" w:lineRule="exact"/>
              <w:jc w:val="center"/>
              <w:rPr>
                <w:rFonts w:hint="eastAsia" w:ascii="宋体" w:hAnsi="宋体" w:eastAsiaTheme="minorEastAsia"/>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line="440" w:lineRule="exact"/>
              <w:jc w:val="center"/>
              <w:rPr>
                <w:rFonts w:hint="eastAsia" w:ascii="宋体" w:hAnsi="宋体" w:eastAsiaTheme="minorEastAsia"/>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p>
        </w:tc>
        <w:tc>
          <w:tcPr>
            <w:tcW w:w="6291" w:type="dxa"/>
            <w:vAlign w:val="top"/>
          </w:tcPr>
          <w:p>
            <w:pPr>
              <w:spacing w:line="440" w:lineRule="exact"/>
              <w:jc w:val="left"/>
              <w:rPr>
                <w:rFonts w:hint="eastAsia" w:ascii="宋体" w:hAnsi="宋体"/>
                <w:color w:val="000000" w:themeColor="text1"/>
                <w:szCs w:val="21"/>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支持</w:t>
            </w:r>
            <w:r>
              <w:rPr>
                <w:rFonts w:hint="default" w:ascii="Times New Roman" w:hAnsi="Times New Roman" w:cs="Times New Roman"/>
                <w:color w:val="000000" w:themeColor="text1"/>
                <w:sz w:val="21"/>
                <w:szCs w:val="21"/>
                <w14:textFill>
                  <w14:solidFill>
                    <w14:schemeClr w14:val="tx1"/>
                  </w14:solidFill>
                </w14:textFill>
              </w:rPr>
              <w:t>单孔</w:t>
            </w:r>
            <w:r>
              <w:rPr>
                <w:rFonts w:hint="default" w:ascii="Times New Roman" w:hAnsi="Times New Roman" w:cs="Times New Roman"/>
                <w:color w:val="000000" w:themeColor="text1"/>
                <w:sz w:val="21"/>
                <w:szCs w:val="21"/>
                <w:lang w:eastAsia="zh-CN"/>
                <w14:textFill>
                  <w14:solidFill>
                    <w14:schemeClr w14:val="tx1"/>
                  </w14:solidFill>
                </w14:textFill>
              </w:rPr>
              <w:t>一次</w:t>
            </w:r>
            <w:r>
              <w:rPr>
                <w:rFonts w:hint="default" w:ascii="Times New Roman" w:hAnsi="Times New Roman" w:cs="Times New Roman"/>
                <w:color w:val="000000" w:themeColor="text1"/>
                <w:sz w:val="21"/>
                <w:szCs w:val="21"/>
                <w14:textFill>
                  <w14:solidFill>
                    <w14:schemeClr w14:val="tx1"/>
                  </w14:solidFill>
                </w14:textFill>
              </w:rPr>
              <w:t>检测50个指标</w:t>
            </w:r>
          </w:p>
        </w:tc>
        <w:tc>
          <w:tcPr>
            <w:tcW w:w="2708" w:type="dxa"/>
          </w:tcPr>
          <w:p>
            <w:pPr>
              <w:spacing w:line="440" w:lineRule="exact"/>
              <w:jc w:val="left"/>
              <w:rPr>
                <w:rFonts w:hint="default" w:ascii="Times New Roman" w:hAnsi="Times New Roman" w:eastAsia="宋体" w:cs="Times New Roman"/>
                <w:sz w:val="21"/>
                <w:szCs w:val="21"/>
              </w:rPr>
            </w:pPr>
          </w:p>
        </w:tc>
        <w:tc>
          <w:tcPr>
            <w:tcW w:w="4499" w:type="dxa"/>
          </w:tcPr>
          <w:p>
            <w:pPr>
              <w:spacing w:line="440" w:lineRule="exact"/>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line="440" w:lineRule="exact"/>
              <w:jc w:val="center"/>
              <w:rPr>
                <w:rFonts w:hint="eastAsia" w:ascii="Times New Roman" w:hAnsi="Times New Roman" w:cs="Times New Roman" w:eastAsiaTheme="minorEastAsia"/>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2</w:t>
            </w:r>
          </w:p>
        </w:tc>
        <w:tc>
          <w:tcPr>
            <w:tcW w:w="6291" w:type="dxa"/>
            <w:vAlign w:val="top"/>
          </w:tcPr>
          <w:p>
            <w:pPr>
              <w:spacing w:line="440" w:lineRule="exact"/>
              <w:jc w:val="left"/>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eastAsia="宋体" w:cs="Times New Roman"/>
                <w:sz w:val="21"/>
                <w:szCs w:val="21"/>
              </w:rPr>
              <w:t>检测效率：每台检测仪器</w:t>
            </w:r>
            <w:r>
              <w:rPr>
                <w:rFonts w:hint="default" w:ascii="Times New Roman" w:hAnsi="Times New Roman" w:eastAsia="宋体" w:cs="Times New Roman"/>
                <w:sz w:val="21"/>
                <w:szCs w:val="21"/>
                <w:lang w:eastAsia="zh-CN"/>
              </w:rPr>
              <w:t>单次</w:t>
            </w:r>
            <w:r>
              <w:rPr>
                <w:rFonts w:hint="default" w:ascii="Times New Roman" w:hAnsi="Times New Roman" w:eastAsia="宋体" w:cs="Times New Roman"/>
                <w:sz w:val="21"/>
                <w:szCs w:val="21"/>
              </w:rPr>
              <w:t>完成96个样本检测时间需≤4小时</w:t>
            </w:r>
          </w:p>
        </w:tc>
        <w:tc>
          <w:tcPr>
            <w:tcW w:w="2708" w:type="dxa"/>
          </w:tcPr>
          <w:p>
            <w:pPr>
              <w:spacing w:line="440" w:lineRule="exact"/>
              <w:jc w:val="left"/>
              <w:rPr>
                <w:rFonts w:hint="default" w:ascii="Times New Roman" w:hAnsi="Times New Roman" w:cs="Times New Roman"/>
                <w:color w:val="000000" w:themeColor="text1"/>
                <w:sz w:val="21"/>
                <w:szCs w:val="21"/>
                <w:lang w:eastAsia="zh-CN"/>
                <w14:textFill>
                  <w14:solidFill>
                    <w14:schemeClr w14:val="tx1"/>
                  </w14:solidFill>
                </w14:textFill>
              </w:rPr>
            </w:pPr>
          </w:p>
        </w:tc>
        <w:tc>
          <w:tcPr>
            <w:tcW w:w="4499" w:type="dxa"/>
          </w:tcPr>
          <w:p>
            <w:pPr>
              <w:spacing w:line="440" w:lineRule="exact"/>
              <w:jc w:val="left"/>
              <w:rPr>
                <w:rFonts w:hint="default" w:ascii="Times New Roman" w:hAnsi="Times New Roman" w:cs="Times New Roman"/>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line="440" w:lineRule="exact"/>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w:t>
            </w:r>
          </w:p>
        </w:tc>
        <w:tc>
          <w:tcPr>
            <w:tcW w:w="6291" w:type="dxa"/>
            <w:vAlign w:val="top"/>
          </w:tcPr>
          <w:p>
            <w:pPr>
              <w:spacing w:line="440" w:lineRule="exact"/>
              <w:jc w:val="left"/>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支持</w:t>
            </w:r>
            <w:r>
              <w:rPr>
                <w:rFonts w:hint="default" w:ascii="Times New Roman" w:hAnsi="Times New Roman" w:cs="Times New Roman"/>
                <w:color w:val="000000" w:themeColor="text1"/>
                <w:sz w:val="21"/>
                <w:szCs w:val="21"/>
                <w14:textFill>
                  <w14:solidFill>
                    <w14:schemeClr w14:val="tx1"/>
                  </w14:solidFill>
                </w14:textFill>
              </w:rPr>
              <w:t>自动调整探针高度功能</w:t>
            </w:r>
          </w:p>
        </w:tc>
        <w:tc>
          <w:tcPr>
            <w:tcW w:w="2708" w:type="dxa"/>
            <w:vAlign w:val="top"/>
          </w:tcPr>
          <w:p>
            <w:pPr>
              <w:spacing w:line="440" w:lineRule="exact"/>
              <w:jc w:val="left"/>
              <w:rPr>
                <w:rFonts w:hint="default" w:ascii="Times New Roman" w:hAnsi="Times New Roman" w:cs="Times New Roman"/>
                <w:color w:val="000000" w:themeColor="text1"/>
                <w:sz w:val="21"/>
                <w:szCs w:val="21"/>
                <w:lang w:eastAsia="zh-CN"/>
                <w14:textFill>
                  <w14:solidFill>
                    <w14:schemeClr w14:val="tx1"/>
                  </w14:solidFill>
                </w14:textFill>
              </w:rPr>
            </w:pPr>
          </w:p>
        </w:tc>
        <w:tc>
          <w:tcPr>
            <w:tcW w:w="4499" w:type="dxa"/>
            <w:vAlign w:val="top"/>
          </w:tcPr>
          <w:p>
            <w:pPr>
              <w:spacing w:line="440" w:lineRule="exact"/>
              <w:jc w:val="left"/>
              <w:rPr>
                <w:rFonts w:hint="default" w:ascii="Times New Roman" w:hAnsi="Times New Roman" w:cs="Times New Roman"/>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line="440" w:lineRule="exact"/>
              <w:jc w:val="center"/>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4</w:t>
            </w:r>
          </w:p>
        </w:tc>
        <w:tc>
          <w:tcPr>
            <w:tcW w:w="6291" w:type="dxa"/>
            <w:vAlign w:val="top"/>
          </w:tcPr>
          <w:p>
            <w:pPr>
              <w:spacing w:line="440" w:lineRule="exact"/>
              <w:jc w:val="left"/>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吸入样本体积</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20-200 μL</w:t>
            </w:r>
          </w:p>
        </w:tc>
        <w:tc>
          <w:tcPr>
            <w:tcW w:w="2708" w:type="dxa"/>
            <w:vAlign w:val="top"/>
          </w:tcPr>
          <w:p>
            <w:pPr>
              <w:spacing w:line="440" w:lineRule="exact"/>
              <w:jc w:val="left"/>
              <w:rPr>
                <w:rFonts w:hint="default" w:ascii="Times New Roman" w:hAnsi="Times New Roman" w:cs="Times New Roman"/>
                <w:color w:val="000000" w:themeColor="text1"/>
                <w:sz w:val="21"/>
                <w:szCs w:val="21"/>
                <w:lang w:eastAsia="zh-CN"/>
                <w14:textFill>
                  <w14:solidFill>
                    <w14:schemeClr w14:val="tx1"/>
                  </w14:solidFill>
                </w14:textFill>
              </w:rPr>
            </w:pPr>
          </w:p>
        </w:tc>
        <w:tc>
          <w:tcPr>
            <w:tcW w:w="4499" w:type="dxa"/>
            <w:vAlign w:val="top"/>
          </w:tcPr>
          <w:p>
            <w:pPr>
              <w:spacing w:line="440" w:lineRule="exact"/>
              <w:jc w:val="left"/>
              <w:rPr>
                <w:rFonts w:hint="default" w:ascii="Times New Roman" w:hAnsi="Times New Roman" w:cs="Times New Roman"/>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line="440" w:lineRule="exact"/>
              <w:jc w:val="center"/>
              <w:rPr>
                <w:rFonts w:hint="eastAsia"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5</w:t>
            </w:r>
          </w:p>
        </w:tc>
        <w:tc>
          <w:tcPr>
            <w:tcW w:w="6291" w:type="dxa"/>
            <w:vAlign w:val="top"/>
          </w:tcPr>
          <w:p>
            <w:pPr>
              <w:spacing w:line="440" w:lineRule="exact"/>
              <w:jc w:val="left"/>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auto"/>
                <w:sz w:val="21"/>
                <w:szCs w:val="21"/>
              </w:rPr>
              <w:t>▲</w:t>
            </w:r>
            <w:r>
              <w:rPr>
                <w:rFonts w:hint="default" w:ascii="Times New Roman" w:hAnsi="Times New Roman" w:cs="Times New Roman"/>
                <w:color w:val="000000" w:themeColor="text1"/>
                <w:sz w:val="21"/>
                <w:szCs w:val="21"/>
                <w14:textFill>
                  <w14:solidFill>
                    <w14:schemeClr w14:val="tx1"/>
                  </w14:solidFill>
                </w14:textFill>
              </w:rPr>
              <w:t>检测器</w:t>
            </w:r>
            <w:r>
              <w:rPr>
                <w:rFonts w:hint="default" w:ascii="Times New Roman" w:hAnsi="Times New Roman" w:cs="Times New Roman"/>
                <w:color w:val="000000" w:themeColor="text1"/>
                <w:sz w:val="21"/>
                <w:szCs w:val="21"/>
                <w:lang w:eastAsia="zh-CN"/>
                <w14:textFill>
                  <w14:solidFill>
                    <w14:schemeClr w14:val="tx1"/>
                  </w14:solidFill>
                </w14:textFill>
              </w:rPr>
              <w:t>采用</w:t>
            </w:r>
            <w:r>
              <w:rPr>
                <w:rFonts w:hint="default" w:ascii="Times New Roman" w:hAnsi="Times New Roman" w:cs="Times New Roman"/>
                <w:color w:val="000000" w:themeColor="text1"/>
                <w:sz w:val="21"/>
                <w:szCs w:val="21"/>
                <w14:textFill>
                  <w14:solidFill>
                    <w14:schemeClr w14:val="tx1"/>
                  </w14:solidFill>
                </w14:textFill>
              </w:rPr>
              <w:t>CCD成像器</w:t>
            </w:r>
          </w:p>
        </w:tc>
        <w:tc>
          <w:tcPr>
            <w:tcW w:w="2708" w:type="dxa"/>
            <w:vAlign w:val="top"/>
          </w:tcPr>
          <w:p>
            <w:pPr>
              <w:spacing w:line="440" w:lineRule="exact"/>
              <w:jc w:val="left"/>
              <w:rPr>
                <w:rFonts w:hint="default" w:ascii="Times New Roman" w:hAnsi="Times New Roman" w:eastAsia="宋体" w:cs="Times New Roman"/>
                <w:sz w:val="21"/>
                <w:szCs w:val="21"/>
                <w:lang w:eastAsia="zh-CN"/>
              </w:rPr>
            </w:pPr>
          </w:p>
        </w:tc>
        <w:tc>
          <w:tcPr>
            <w:tcW w:w="4499" w:type="dxa"/>
            <w:vAlign w:val="top"/>
          </w:tcPr>
          <w:p>
            <w:pPr>
              <w:spacing w:line="440" w:lineRule="exact"/>
              <w:jc w:val="left"/>
              <w:rPr>
                <w:rFonts w:hint="default" w:ascii="Times New Roman" w:hAnsi="Times New Roman"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line="440" w:lineRule="exact"/>
              <w:jc w:val="center"/>
              <w:rPr>
                <w:rFonts w:hint="eastAsia" w:ascii="Times New Roman" w:hAnsi="Times New Roman" w:cs="Times New Roman" w:eastAsiaTheme="minorEastAsia"/>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6</w:t>
            </w:r>
          </w:p>
        </w:tc>
        <w:tc>
          <w:tcPr>
            <w:tcW w:w="6291" w:type="dxa"/>
            <w:vAlign w:val="top"/>
          </w:tcPr>
          <w:p>
            <w:pPr>
              <w:spacing w:line="440" w:lineRule="exact"/>
              <w:jc w:val="left"/>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rPr>
              <w:t>▲处理器：</w:t>
            </w:r>
            <w:r>
              <w:rPr>
                <w:rFonts w:hint="default" w:ascii="Times New Roman" w:hAnsi="Times New Roman" w:eastAsia="宋体" w:cs="Times New Roman"/>
                <w:sz w:val="21"/>
                <w:szCs w:val="21"/>
                <w:lang w:eastAsia="zh-CN"/>
              </w:rPr>
              <w:t>支持</w:t>
            </w:r>
            <w:r>
              <w:rPr>
                <w:rFonts w:hint="default" w:ascii="Times New Roman" w:hAnsi="Times New Roman" w:eastAsia="宋体" w:cs="Times New Roman"/>
                <w:sz w:val="21"/>
                <w:szCs w:val="21"/>
              </w:rPr>
              <w:t>数字信号处理器</w:t>
            </w:r>
          </w:p>
        </w:tc>
        <w:tc>
          <w:tcPr>
            <w:tcW w:w="2708" w:type="dxa"/>
            <w:vAlign w:val="top"/>
          </w:tcPr>
          <w:p>
            <w:pPr>
              <w:spacing w:line="440" w:lineRule="exact"/>
              <w:jc w:val="left"/>
              <w:rPr>
                <w:rFonts w:hint="default" w:ascii="Times New Roman" w:hAnsi="Times New Roman" w:eastAsia="宋体" w:cs="Times New Roman"/>
                <w:sz w:val="21"/>
                <w:szCs w:val="21"/>
                <w:lang w:eastAsia="zh-CN"/>
              </w:rPr>
            </w:pPr>
          </w:p>
        </w:tc>
        <w:tc>
          <w:tcPr>
            <w:tcW w:w="4499" w:type="dxa"/>
            <w:vAlign w:val="top"/>
          </w:tcPr>
          <w:p>
            <w:pPr>
              <w:spacing w:line="440" w:lineRule="exact"/>
              <w:jc w:val="left"/>
              <w:rPr>
                <w:rFonts w:hint="default" w:ascii="Times New Roman" w:hAnsi="Times New Roman"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top"/>
          </w:tcPr>
          <w:p>
            <w:pPr>
              <w:spacing w:line="440" w:lineRule="exact"/>
              <w:jc w:val="center"/>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7</w:t>
            </w:r>
          </w:p>
        </w:tc>
        <w:tc>
          <w:tcPr>
            <w:tcW w:w="6291" w:type="dxa"/>
            <w:vAlign w:val="top"/>
          </w:tcPr>
          <w:p>
            <w:pPr>
              <w:spacing w:line="440" w:lineRule="exact"/>
              <w:jc w:val="left"/>
              <w:rPr>
                <w:rFonts w:hint="default" w:ascii="Times New Roman" w:hAnsi="Times New Roman" w:eastAsia="宋体" w:cs="Times New Roman"/>
                <w:sz w:val="21"/>
                <w:szCs w:val="21"/>
                <w:lang w:eastAsia="zh-CN"/>
              </w:rPr>
            </w:pPr>
            <w:r>
              <w:rPr>
                <w:rFonts w:hint="default" w:ascii="Times New Roman" w:hAnsi="Times New Roman" w:cs="Times New Roman"/>
                <w:color w:val="auto"/>
                <w:sz w:val="21"/>
                <w:szCs w:val="21"/>
              </w:rPr>
              <w:t>▲</w:t>
            </w:r>
            <w:r>
              <w:rPr>
                <w:rFonts w:hint="default" w:ascii="Times New Roman" w:hAnsi="Times New Roman" w:cs="Times New Roman"/>
                <w:color w:val="000000" w:themeColor="text1"/>
                <w:sz w:val="21"/>
                <w:szCs w:val="21"/>
                <w:lang w:eastAsia="zh-CN"/>
                <w14:textFill>
                  <w14:solidFill>
                    <w14:schemeClr w14:val="tx1"/>
                  </w14:solidFill>
                </w14:textFill>
              </w:rPr>
              <w:t>支持</w:t>
            </w:r>
            <w:r>
              <w:rPr>
                <w:rFonts w:hint="default" w:ascii="Times New Roman" w:hAnsi="Times New Roman" w:cs="Times New Roman"/>
                <w:color w:val="000000" w:themeColor="text1"/>
                <w:sz w:val="21"/>
                <w:szCs w:val="21"/>
                <w14:textFill>
                  <w14:solidFill>
                    <w14:schemeClr w14:val="tx1"/>
                  </w14:solidFill>
                </w14:textFill>
              </w:rPr>
              <w:t>兼容磁性微球</w:t>
            </w:r>
            <w:r>
              <w:rPr>
                <w:rFonts w:hint="default" w:ascii="Times New Roman" w:hAnsi="Times New Roman" w:cs="Times New Roman"/>
                <w:color w:val="000000" w:themeColor="text1"/>
                <w:sz w:val="21"/>
                <w:szCs w:val="21"/>
                <w:lang w:eastAsia="zh-CN"/>
                <w14:textFill>
                  <w14:solidFill>
                    <w14:schemeClr w14:val="tx1"/>
                  </w14:solidFill>
                </w14:textFill>
              </w:rPr>
              <w:t>和非磁性微球</w:t>
            </w:r>
          </w:p>
        </w:tc>
        <w:tc>
          <w:tcPr>
            <w:tcW w:w="2708" w:type="dxa"/>
            <w:vAlign w:val="top"/>
          </w:tcPr>
          <w:p>
            <w:pPr>
              <w:spacing w:line="440" w:lineRule="exact"/>
              <w:jc w:val="left"/>
              <w:rPr>
                <w:rFonts w:hint="default" w:ascii="Times New Roman" w:hAnsi="Times New Roman" w:cs="Times New Roman"/>
                <w:color w:val="auto"/>
                <w:sz w:val="21"/>
                <w:szCs w:val="21"/>
              </w:rPr>
            </w:pPr>
          </w:p>
        </w:tc>
        <w:tc>
          <w:tcPr>
            <w:tcW w:w="4499" w:type="dxa"/>
            <w:vAlign w:val="top"/>
          </w:tcPr>
          <w:p>
            <w:pPr>
              <w:spacing w:line="440" w:lineRule="exact"/>
              <w:jc w:val="left"/>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top"/>
          </w:tcPr>
          <w:p>
            <w:pPr>
              <w:spacing w:line="440" w:lineRule="exact"/>
              <w:jc w:val="center"/>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8</w:t>
            </w:r>
          </w:p>
        </w:tc>
        <w:tc>
          <w:tcPr>
            <w:tcW w:w="6291" w:type="dxa"/>
            <w:vAlign w:val="top"/>
          </w:tcPr>
          <w:p>
            <w:pPr>
              <w:spacing w:line="440" w:lineRule="exact"/>
              <w:jc w:val="left"/>
              <w:rPr>
                <w:rFonts w:hint="eastAsia" w:ascii="Times New Roman" w:hAnsi="Times New Roman" w:eastAsia="宋体" w:cs="Times New Roman"/>
                <w:sz w:val="21"/>
                <w:szCs w:val="21"/>
                <w:lang w:eastAsia="zh-CN"/>
              </w:rPr>
            </w:pPr>
            <w:r>
              <w:rPr>
                <w:rFonts w:hint="default" w:ascii="Times New Roman" w:hAnsi="Times New Roman" w:cs="Times New Roman"/>
                <w:color w:val="000000" w:themeColor="text1"/>
                <w:sz w:val="21"/>
                <w:szCs w:val="21"/>
                <w:lang w:eastAsia="zh-CN"/>
                <w14:textFill>
                  <w14:solidFill>
                    <w14:schemeClr w14:val="tx1"/>
                  </w14:solidFill>
                </w14:textFill>
              </w:rPr>
              <w:t>支持</w:t>
            </w:r>
            <w:r>
              <w:rPr>
                <w:rFonts w:hint="default" w:ascii="Times New Roman" w:hAnsi="Times New Roman" w:eastAsia="宋体" w:cs="Times New Roman"/>
                <w:sz w:val="21"/>
                <w:szCs w:val="21"/>
              </w:rPr>
              <w:t>显示数据采集，显示：微球体图谱、直方图、液流速度、荧光强度值</w:t>
            </w:r>
            <w:r>
              <w:rPr>
                <w:rFonts w:hint="default" w:ascii="Times New Roman" w:hAnsi="Times New Roman" w:eastAsia="宋体" w:cs="Times New Roman"/>
                <w:sz w:val="21"/>
                <w:szCs w:val="21"/>
                <w:lang w:eastAsia="zh-CN"/>
              </w:rPr>
              <w:t>等功能</w:t>
            </w:r>
          </w:p>
        </w:tc>
        <w:tc>
          <w:tcPr>
            <w:tcW w:w="2708" w:type="dxa"/>
            <w:vAlign w:val="top"/>
          </w:tcPr>
          <w:p>
            <w:pPr>
              <w:spacing w:line="440" w:lineRule="exact"/>
              <w:jc w:val="left"/>
              <w:rPr>
                <w:rFonts w:hint="default" w:ascii="Times New Roman" w:hAnsi="Times New Roman" w:cs="Times New Roman"/>
                <w:color w:val="auto"/>
                <w:sz w:val="21"/>
                <w:szCs w:val="21"/>
              </w:rPr>
            </w:pPr>
          </w:p>
        </w:tc>
        <w:tc>
          <w:tcPr>
            <w:tcW w:w="4499" w:type="dxa"/>
            <w:vAlign w:val="top"/>
          </w:tcPr>
          <w:p>
            <w:pPr>
              <w:spacing w:line="440" w:lineRule="exact"/>
              <w:jc w:val="left"/>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top"/>
          </w:tcPr>
          <w:p>
            <w:pPr>
              <w:spacing w:line="440" w:lineRule="exact"/>
              <w:jc w:val="center"/>
              <w:rPr>
                <w:rFonts w:hint="eastAsia" w:ascii="Times New Roman" w:hAnsi="Times New Roman" w:cs="Times New Roman" w:eastAsiaTheme="minorEastAsia"/>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9</w:t>
            </w:r>
          </w:p>
        </w:tc>
        <w:tc>
          <w:tcPr>
            <w:tcW w:w="6291" w:type="dxa"/>
            <w:vAlign w:val="top"/>
          </w:tcPr>
          <w:p>
            <w:pPr>
              <w:spacing w:line="440" w:lineRule="exact"/>
              <w:jc w:val="left"/>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lang w:eastAsia="zh-CN"/>
              </w:rPr>
              <w:t>支持</w:t>
            </w:r>
            <w:r>
              <w:rPr>
                <w:rFonts w:hint="default" w:ascii="Times New Roman" w:hAnsi="Times New Roman" w:eastAsia="宋体" w:cs="Times New Roman"/>
                <w:sz w:val="21"/>
                <w:szCs w:val="21"/>
              </w:rPr>
              <w:t>数据输出</w:t>
            </w:r>
            <w:r>
              <w:rPr>
                <w:rFonts w:hint="default" w:ascii="Times New Roman" w:hAnsi="Times New Roman" w:eastAsia="宋体" w:cs="Times New Roman"/>
                <w:sz w:val="21"/>
                <w:szCs w:val="21"/>
                <w:lang w:eastAsia="zh-CN"/>
              </w:rPr>
              <w:t>为</w:t>
            </w:r>
            <w:r>
              <w:rPr>
                <w:rFonts w:hint="default" w:ascii="Times New Roman" w:hAnsi="Times New Roman" w:eastAsia="宋体" w:cs="Times New Roman"/>
                <w:sz w:val="21"/>
                <w:szCs w:val="21"/>
              </w:rPr>
              <w:t>Excel表格、文本文档</w:t>
            </w:r>
          </w:p>
        </w:tc>
        <w:tc>
          <w:tcPr>
            <w:tcW w:w="2708" w:type="dxa"/>
            <w:vAlign w:val="top"/>
          </w:tcPr>
          <w:p>
            <w:pPr>
              <w:spacing w:line="440" w:lineRule="exact"/>
              <w:jc w:val="left"/>
              <w:rPr>
                <w:rFonts w:hint="default" w:ascii="Times New Roman" w:hAnsi="Times New Roman" w:cs="Times New Roman"/>
                <w:color w:val="auto"/>
                <w:sz w:val="21"/>
                <w:szCs w:val="21"/>
              </w:rPr>
            </w:pPr>
          </w:p>
        </w:tc>
        <w:tc>
          <w:tcPr>
            <w:tcW w:w="4499" w:type="dxa"/>
            <w:vAlign w:val="top"/>
          </w:tcPr>
          <w:p>
            <w:pPr>
              <w:spacing w:line="440" w:lineRule="exact"/>
              <w:jc w:val="left"/>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top"/>
          </w:tcPr>
          <w:p>
            <w:pPr>
              <w:spacing w:line="440" w:lineRule="exac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10</w:t>
            </w:r>
          </w:p>
        </w:tc>
        <w:tc>
          <w:tcPr>
            <w:tcW w:w="6291" w:type="dxa"/>
            <w:vAlign w:val="top"/>
          </w:tcPr>
          <w:p>
            <w:pPr>
              <w:spacing w:line="440" w:lineRule="exact"/>
              <w:jc w:val="left"/>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sz w:val="21"/>
                <w:szCs w:val="21"/>
                <w:lang w:eastAsia="zh-CN"/>
              </w:rPr>
              <w:t>支持</w:t>
            </w:r>
            <w:r>
              <w:rPr>
                <w:rFonts w:hint="default" w:ascii="Times New Roman" w:hAnsi="Times New Roman" w:eastAsia="宋体" w:cs="Times New Roman"/>
                <w:sz w:val="21"/>
                <w:szCs w:val="21"/>
              </w:rPr>
              <w:t>对液态悬浮芯片系统控制、验证、校正、数据采集和数据分析的基本功能</w:t>
            </w:r>
          </w:p>
        </w:tc>
        <w:tc>
          <w:tcPr>
            <w:tcW w:w="2708" w:type="dxa"/>
            <w:vAlign w:val="top"/>
          </w:tcPr>
          <w:p>
            <w:pPr>
              <w:spacing w:line="440" w:lineRule="exact"/>
              <w:jc w:val="left"/>
              <w:rPr>
                <w:rFonts w:hint="default" w:ascii="Times New Roman" w:hAnsi="Times New Roman" w:eastAsia="宋体" w:cs="Times New Roman"/>
                <w:sz w:val="21"/>
                <w:szCs w:val="21"/>
              </w:rPr>
            </w:pPr>
          </w:p>
        </w:tc>
        <w:tc>
          <w:tcPr>
            <w:tcW w:w="4499" w:type="dxa"/>
            <w:vAlign w:val="top"/>
          </w:tcPr>
          <w:p>
            <w:pPr>
              <w:spacing w:line="440" w:lineRule="exact"/>
              <w:jc w:val="left"/>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line="440" w:lineRule="exac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11</w:t>
            </w:r>
          </w:p>
        </w:tc>
        <w:tc>
          <w:tcPr>
            <w:tcW w:w="6291" w:type="dxa"/>
            <w:vAlign w:val="top"/>
          </w:tcPr>
          <w:p>
            <w:pPr>
              <w:spacing w:line="440" w:lineRule="exact"/>
              <w:jc w:val="left"/>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auto"/>
                <w:sz w:val="21"/>
                <w:szCs w:val="21"/>
              </w:rPr>
              <w:t>▲</w:t>
            </w:r>
            <w:r>
              <w:rPr>
                <w:rFonts w:hint="default" w:ascii="Times New Roman" w:hAnsi="Times New Roman" w:eastAsia="宋体" w:cs="Times New Roman"/>
                <w:sz w:val="21"/>
                <w:szCs w:val="21"/>
              </w:rPr>
              <w:t>兼容LIS/LIMS实验室信息管理系统</w:t>
            </w:r>
          </w:p>
        </w:tc>
        <w:tc>
          <w:tcPr>
            <w:tcW w:w="2708" w:type="dxa"/>
          </w:tcPr>
          <w:p>
            <w:pPr>
              <w:spacing w:line="440" w:lineRule="exact"/>
              <w:jc w:val="left"/>
              <w:rPr>
                <w:rFonts w:hint="default" w:ascii="Times New Roman" w:hAnsi="Times New Roman" w:cs="Times New Roman"/>
                <w:color w:val="000000" w:themeColor="text1"/>
                <w:sz w:val="21"/>
                <w:szCs w:val="21"/>
                <w14:textFill>
                  <w14:solidFill>
                    <w14:schemeClr w14:val="tx1"/>
                  </w14:solidFill>
                </w14:textFill>
              </w:rPr>
            </w:pPr>
          </w:p>
        </w:tc>
        <w:tc>
          <w:tcPr>
            <w:tcW w:w="4499" w:type="dxa"/>
          </w:tcPr>
          <w:p>
            <w:pPr>
              <w:spacing w:line="440" w:lineRule="exact"/>
              <w:jc w:val="left"/>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line="440" w:lineRule="exac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12</w:t>
            </w:r>
          </w:p>
        </w:tc>
        <w:tc>
          <w:tcPr>
            <w:tcW w:w="6291" w:type="dxa"/>
            <w:vAlign w:val="top"/>
          </w:tcPr>
          <w:p>
            <w:pPr>
              <w:spacing w:line="440" w:lineRule="exact"/>
              <w:jc w:val="left"/>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样本控制温度</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35 °C-60 °C</w:t>
            </w:r>
          </w:p>
        </w:tc>
        <w:tc>
          <w:tcPr>
            <w:tcW w:w="2708" w:type="dxa"/>
          </w:tcPr>
          <w:p>
            <w:pPr>
              <w:spacing w:line="440" w:lineRule="exact"/>
              <w:jc w:val="left"/>
              <w:rPr>
                <w:rFonts w:hint="default" w:ascii="Times New Roman" w:hAnsi="Times New Roman" w:cs="Times New Roman"/>
                <w:color w:val="000000" w:themeColor="text1"/>
                <w:sz w:val="21"/>
                <w:szCs w:val="21"/>
                <w14:textFill>
                  <w14:solidFill>
                    <w14:schemeClr w14:val="tx1"/>
                  </w14:solidFill>
                </w14:textFill>
              </w:rPr>
            </w:pPr>
          </w:p>
        </w:tc>
        <w:tc>
          <w:tcPr>
            <w:tcW w:w="4499" w:type="dxa"/>
          </w:tcPr>
          <w:p>
            <w:pPr>
              <w:spacing w:line="440" w:lineRule="exact"/>
              <w:jc w:val="left"/>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line="440" w:lineRule="exac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w:t>
            </w:r>
            <w:r>
              <w:rPr>
                <w:rFonts w:hint="eastAsia" w:ascii="Times New Roman" w:hAnsi="Times New Roman" w:cs="Times New Roman"/>
                <w:color w:val="000000" w:themeColor="text1"/>
                <w:szCs w:val="21"/>
                <w:lang w:val="en-US" w:eastAsia="zh-CN"/>
                <w14:textFill>
                  <w14:solidFill>
                    <w14:schemeClr w14:val="tx1"/>
                  </w14:solidFill>
                </w14:textFill>
              </w:rPr>
              <w:t>3</w:t>
            </w:r>
          </w:p>
        </w:tc>
        <w:tc>
          <w:tcPr>
            <w:tcW w:w="6291" w:type="dxa"/>
            <w:vAlign w:val="top"/>
          </w:tcPr>
          <w:p>
            <w:pPr>
              <w:spacing w:line="440" w:lineRule="exact"/>
              <w:jc w:val="left"/>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线性范围</w:t>
            </w:r>
            <w:r>
              <w:rPr>
                <w:rFonts w:hint="default" w:ascii="Times New Roman" w:hAnsi="Times New Roman" w:cs="Times New Roman"/>
                <w:color w:val="000000" w:themeColor="text1"/>
                <w:sz w:val="21"/>
                <w:szCs w:val="21"/>
                <w:lang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3.5logs</w:t>
            </w:r>
          </w:p>
        </w:tc>
        <w:tc>
          <w:tcPr>
            <w:tcW w:w="2708" w:type="dxa"/>
          </w:tcPr>
          <w:p>
            <w:pPr>
              <w:spacing w:line="440" w:lineRule="exact"/>
              <w:jc w:val="left"/>
              <w:rPr>
                <w:rFonts w:hint="default" w:ascii="Times New Roman" w:hAnsi="Times New Roman" w:cs="Times New Roman"/>
                <w:color w:val="000000" w:themeColor="text1"/>
                <w:sz w:val="21"/>
                <w:szCs w:val="21"/>
                <w14:textFill>
                  <w14:solidFill>
                    <w14:schemeClr w14:val="tx1"/>
                  </w14:solidFill>
                </w14:textFill>
              </w:rPr>
            </w:pPr>
          </w:p>
        </w:tc>
        <w:tc>
          <w:tcPr>
            <w:tcW w:w="4499" w:type="dxa"/>
          </w:tcPr>
          <w:p>
            <w:pPr>
              <w:spacing w:line="440" w:lineRule="exact"/>
              <w:jc w:val="left"/>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line="440" w:lineRule="exac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14</w:t>
            </w:r>
          </w:p>
        </w:tc>
        <w:tc>
          <w:tcPr>
            <w:tcW w:w="6291" w:type="dxa"/>
            <w:vAlign w:val="top"/>
          </w:tcPr>
          <w:p>
            <w:pPr>
              <w:widowControl/>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符合实验室标准数据交换格式，提供与实验室信息管理系统（LIS）进行数据交换功能及服务</w:t>
            </w:r>
          </w:p>
        </w:tc>
        <w:tc>
          <w:tcPr>
            <w:tcW w:w="2708" w:type="dxa"/>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p>
        </w:tc>
        <w:tc>
          <w:tcPr>
            <w:tcW w:w="4499" w:type="dxa"/>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line="440" w:lineRule="exac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t>15</w:t>
            </w:r>
          </w:p>
        </w:tc>
        <w:tc>
          <w:tcPr>
            <w:tcW w:w="6291" w:type="dxa"/>
            <w:vAlign w:val="top"/>
          </w:tcPr>
          <w:p>
            <w:pPr>
              <w:pStyle w:val="6"/>
              <w:widowControl/>
              <w:tabs>
                <w:tab w:val="left" w:pos="993"/>
              </w:tabs>
              <w:spacing w:line="440" w:lineRule="exact"/>
              <w:rPr>
                <w:rFonts w:hint="default"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eastAsia="zh-CN"/>
              </w:rPr>
              <w:t>其他要求：</w:t>
            </w:r>
            <w:r>
              <w:rPr>
                <w:rFonts w:hint="default" w:ascii="Times New Roman" w:hAnsi="Times New Roman" w:eastAsia="宋体" w:cs="Times New Roman"/>
                <w:color w:val="000000"/>
                <w:sz w:val="21"/>
                <w:szCs w:val="21"/>
              </w:rPr>
              <w:t>（</w:t>
            </w:r>
            <w:r>
              <w:rPr>
                <w:rFonts w:hint="eastAsia" w:ascii="Times New Roman" w:hAnsi="Times New Roman" w:eastAsia="宋体" w:cs="Times New Roman"/>
                <w:color w:val="000000"/>
                <w:sz w:val="21"/>
                <w:szCs w:val="21"/>
                <w:lang w:val="en-US" w:eastAsia="zh-CN"/>
              </w:rPr>
              <w:t>1</w:t>
            </w:r>
            <w:r>
              <w:rPr>
                <w:rFonts w:hint="default" w:ascii="Times New Roman" w:hAnsi="Times New Roman" w:eastAsia="宋体" w:cs="Times New Roman"/>
                <w:color w:val="000000"/>
                <w:sz w:val="21"/>
                <w:szCs w:val="21"/>
              </w:rPr>
              <w:t>）电源：免费提供仪器所需的UPS，AC 220V（波动≤10%）</w:t>
            </w:r>
          </w:p>
          <w:p>
            <w:pPr>
              <w:pStyle w:val="6"/>
              <w:widowControl/>
              <w:tabs>
                <w:tab w:val="left" w:pos="993"/>
              </w:tabs>
              <w:spacing w:line="440" w:lineRule="exac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eastAsia="zh-CN"/>
              </w:rPr>
              <w:t>（</w:t>
            </w:r>
            <w:r>
              <w:rPr>
                <w:rFonts w:hint="eastAsia" w:ascii="Times New Roman" w:hAnsi="Times New Roman" w:eastAsia="宋体" w:cs="Times New Roman"/>
                <w:color w:val="000000"/>
                <w:sz w:val="21"/>
                <w:szCs w:val="21"/>
                <w:lang w:val="en-US" w:eastAsia="zh-CN"/>
              </w:rPr>
              <w:t>2</w:t>
            </w:r>
            <w:r>
              <w:rPr>
                <w:rFonts w:hint="eastAsia" w:ascii="Times New Roman" w:hAnsi="Times New Roman" w:eastAsia="宋体" w:cs="Times New Roman"/>
                <w:color w:val="000000"/>
                <w:sz w:val="21"/>
                <w:szCs w:val="21"/>
                <w:lang w:eastAsia="zh-CN"/>
              </w:rPr>
              <w:t>）成交供应商负责接入采购人现有</w:t>
            </w:r>
            <w:r>
              <w:rPr>
                <w:rFonts w:hint="eastAsia" w:ascii="Times New Roman" w:hAnsi="Times New Roman" w:eastAsia="宋体" w:cs="Times New Roman"/>
                <w:color w:val="000000"/>
                <w:sz w:val="21"/>
                <w:szCs w:val="21"/>
                <w:lang w:val="en-US" w:eastAsia="zh-CN"/>
              </w:rPr>
              <w:t>LIS系统，所需费用包含在中标费内</w:t>
            </w:r>
          </w:p>
          <w:p>
            <w:pPr>
              <w:pStyle w:val="6"/>
              <w:widowControl/>
              <w:tabs>
                <w:tab w:val="left" w:pos="851"/>
              </w:tabs>
              <w:spacing w:line="440" w:lineRule="exact"/>
              <w:ind w:firstLine="420" w:firstLineChars="200"/>
              <w:rPr>
                <w:rFonts w:hint="eastAsia" w:ascii="Times New Roman" w:hAnsi="Times New Roman" w:eastAsia="宋体" w:cs="Times New Roman"/>
                <w:color w:val="000000" w:themeColor="text1"/>
                <w:sz w:val="21"/>
                <w:szCs w:val="21"/>
                <w:lang w:eastAsia="zh-CN"/>
                <w14:textFill>
                  <w14:solidFill>
                    <w14:schemeClr w14:val="tx1"/>
                  </w14:solidFill>
                </w14:textFill>
              </w:rPr>
            </w:pPr>
          </w:p>
        </w:tc>
        <w:tc>
          <w:tcPr>
            <w:tcW w:w="2708" w:type="dxa"/>
          </w:tcPr>
          <w:p>
            <w:pPr>
              <w:pStyle w:val="6"/>
              <w:widowControl/>
              <w:tabs>
                <w:tab w:val="left" w:pos="851"/>
              </w:tabs>
              <w:spacing w:line="440" w:lineRule="exact"/>
              <w:rPr>
                <w:rFonts w:hint="default" w:ascii="Times New Roman" w:hAnsi="Times New Roman" w:eastAsia="宋体" w:cs="Times New Roman"/>
                <w:color w:val="000000"/>
                <w:sz w:val="21"/>
                <w:szCs w:val="21"/>
              </w:rPr>
            </w:pPr>
          </w:p>
        </w:tc>
        <w:tc>
          <w:tcPr>
            <w:tcW w:w="4499" w:type="dxa"/>
          </w:tcPr>
          <w:p>
            <w:pPr>
              <w:pStyle w:val="6"/>
              <w:widowControl/>
              <w:tabs>
                <w:tab w:val="left" w:pos="851"/>
              </w:tabs>
              <w:spacing w:line="440" w:lineRule="exact"/>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line="440" w:lineRule="exac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16</w:t>
            </w:r>
          </w:p>
        </w:tc>
        <w:tc>
          <w:tcPr>
            <w:tcW w:w="6291" w:type="dxa"/>
            <w:vAlign w:val="top"/>
          </w:tcPr>
          <w:p>
            <w:pPr>
              <w:pStyle w:val="6"/>
              <w:widowControl/>
              <w:tabs>
                <w:tab w:val="left" w:pos="851"/>
              </w:tabs>
              <w:spacing w:line="440" w:lineRule="exact"/>
              <w:ind w:firstLine="420" w:firstLineChars="200"/>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按照谈判文件耗材试剂报价格式，对可基于本设备开展的项目所用试剂耗材进行报价，并提供相应医疗器械注册证。</w:t>
            </w:r>
          </w:p>
        </w:tc>
        <w:tc>
          <w:tcPr>
            <w:tcW w:w="2708" w:type="dxa"/>
          </w:tcPr>
          <w:p>
            <w:pPr>
              <w:pStyle w:val="6"/>
              <w:widowControl/>
              <w:tabs>
                <w:tab w:val="left" w:pos="851"/>
              </w:tabs>
              <w:spacing w:line="440" w:lineRule="exact"/>
              <w:rPr>
                <w:rFonts w:hint="default" w:ascii="Times New Roman" w:hAnsi="Times New Roman" w:eastAsia="宋体" w:cs="Times New Roman"/>
                <w:color w:val="000000"/>
                <w:sz w:val="21"/>
                <w:szCs w:val="21"/>
              </w:rPr>
            </w:pPr>
          </w:p>
        </w:tc>
        <w:tc>
          <w:tcPr>
            <w:tcW w:w="4499" w:type="dxa"/>
          </w:tcPr>
          <w:p>
            <w:pPr>
              <w:pStyle w:val="6"/>
              <w:widowControl/>
              <w:tabs>
                <w:tab w:val="left" w:pos="851"/>
              </w:tabs>
              <w:spacing w:line="440" w:lineRule="exact"/>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line="440" w:lineRule="exac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17</w:t>
            </w:r>
          </w:p>
        </w:tc>
        <w:tc>
          <w:tcPr>
            <w:tcW w:w="6291" w:type="dxa"/>
            <w:vAlign w:val="top"/>
          </w:tcPr>
          <w:p>
            <w:pPr>
              <w:pStyle w:val="6"/>
              <w:widowControl/>
              <w:tabs>
                <w:tab w:val="left" w:pos="851"/>
              </w:tabs>
              <w:spacing w:line="440" w:lineRule="exact"/>
              <w:ind w:firstLine="420" w:firstLineChars="200"/>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基于本设备开展的项目所需的试剂耗材须在广东省第三方药品电子交易平台上。</w:t>
            </w:r>
          </w:p>
        </w:tc>
        <w:tc>
          <w:tcPr>
            <w:tcW w:w="2708" w:type="dxa"/>
          </w:tcPr>
          <w:p>
            <w:pPr>
              <w:pStyle w:val="6"/>
              <w:widowControl/>
              <w:tabs>
                <w:tab w:val="left" w:pos="851"/>
              </w:tabs>
              <w:spacing w:line="440" w:lineRule="exact"/>
              <w:rPr>
                <w:rFonts w:hint="default" w:ascii="Times New Roman" w:hAnsi="Times New Roman" w:eastAsia="宋体" w:cs="Times New Roman"/>
                <w:color w:val="000000"/>
                <w:sz w:val="21"/>
                <w:szCs w:val="21"/>
              </w:rPr>
            </w:pPr>
          </w:p>
        </w:tc>
        <w:tc>
          <w:tcPr>
            <w:tcW w:w="4499" w:type="dxa"/>
          </w:tcPr>
          <w:p>
            <w:pPr>
              <w:pStyle w:val="6"/>
              <w:widowControl/>
              <w:tabs>
                <w:tab w:val="left" w:pos="851"/>
              </w:tabs>
              <w:spacing w:line="440" w:lineRule="exact"/>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line="440" w:lineRule="exact"/>
              <w:jc w:val="center"/>
              <w:rPr>
                <w:rFonts w:hint="default" w:ascii="Times New Roman" w:hAnsi="Times New Roman"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18</w:t>
            </w:r>
          </w:p>
        </w:tc>
        <w:tc>
          <w:tcPr>
            <w:tcW w:w="6291" w:type="dxa"/>
            <w:vAlign w:val="top"/>
          </w:tcPr>
          <w:p>
            <w:pPr>
              <w:pStyle w:val="6"/>
              <w:widowControl/>
              <w:tabs>
                <w:tab w:val="left" w:pos="851"/>
              </w:tabs>
              <w:spacing w:line="440" w:lineRule="exact"/>
              <w:ind w:firstLine="420" w:firstLineChars="200"/>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提供至少两年及以上的原厂质保</w:t>
            </w:r>
            <w:bookmarkStart w:id="0" w:name="_GoBack"/>
            <w:bookmarkEnd w:id="0"/>
          </w:p>
        </w:tc>
        <w:tc>
          <w:tcPr>
            <w:tcW w:w="2708" w:type="dxa"/>
          </w:tcPr>
          <w:p>
            <w:pPr>
              <w:pStyle w:val="6"/>
              <w:widowControl/>
              <w:tabs>
                <w:tab w:val="left" w:pos="851"/>
              </w:tabs>
              <w:spacing w:line="440" w:lineRule="exact"/>
              <w:rPr>
                <w:rFonts w:hint="default" w:ascii="Times New Roman" w:hAnsi="Times New Roman" w:eastAsia="宋体" w:cs="Times New Roman"/>
                <w:color w:val="000000"/>
                <w:sz w:val="21"/>
                <w:szCs w:val="21"/>
              </w:rPr>
            </w:pPr>
          </w:p>
        </w:tc>
        <w:tc>
          <w:tcPr>
            <w:tcW w:w="4499" w:type="dxa"/>
          </w:tcPr>
          <w:p>
            <w:pPr>
              <w:pStyle w:val="6"/>
              <w:widowControl/>
              <w:tabs>
                <w:tab w:val="left" w:pos="851"/>
              </w:tabs>
              <w:spacing w:line="440" w:lineRule="exact"/>
              <w:rPr>
                <w:rFonts w:hint="default" w:ascii="Times New Roman" w:hAnsi="Times New Roman" w:eastAsia="宋体" w:cs="Times New Roman"/>
                <w:color w:val="000000"/>
                <w:sz w:val="21"/>
                <w:szCs w:val="21"/>
              </w:rPr>
            </w:pPr>
          </w:p>
        </w:tc>
      </w:tr>
    </w:tbl>
    <w:p>
      <w:pPr>
        <w:jc w:val="both"/>
        <w:rPr>
          <w:rFonts w:hint="eastAsia"/>
          <w:sz w:val="36"/>
          <w:szCs w:val="44"/>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96AEBE"/>
    <w:multiLevelType w:val="singleLevel"/>
    <w:tmpl w:val="8B96AEB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C63EF3"/>
    <w:rsid w:val="09482E6C"/>
    <w:rsid w:val="3E186FB8"/>
    <w:rsid w:val="49C63EF3"/>
    <w:rsid w:val="4B7B3C5E"/>
    <w:rsid w:val="689A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表格文字"/>
    <w:basedOn w:val="1"/>
    <w:qFormat/>
    <w:uiPriority w:val="0"/>
    <w:pPr>
      <w:spacing w:before="25" w:after="25"/>
      <w:jc w:val="left"/>
    </w:pPr>
    <w:rPr>
      <w:bCs/>
      <w:spacing w:val="10"/>
      <w:kern w:val="0"/>
      <w:sz w:val="24"/>
      <w:szCs w:val="20"/>
    </w:rPr>
  </w:style>
  <w:style w:type="paragraph" w:styleId="6">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2020-10-19T03:15:00Z</dcterms:created>
  <dc:creator>ye</dc:creator>
  <cp:lastModifiedBy>ye</cp:lastModifiedBy>
  <dcterms:modified xsi:type="dcterms:W3CDTF">2022-06-07T01:13:55Z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