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color w:val="0000FF"/>
          <w:sz w:val="24"/>
        </w:rPr>
      </w:pPr>
      <w:r>
        <w:rPr>
          <w:rFonts w:hint="eastAsia"/>
          <w:color w:val="0000FF"/>
          <w:sz w:val="24"/>
          <w:lang w:val="en-US" w:eastAsia="zh-CN"/>
        </w:rPr>
        <w:t>报价须</w:t>
      </w:r>
      <w:r>
        <w:rPr>
          <w:rFonts w:hint="eastAsia"/>
          <w:color w:val="0000FF"/>
          <w:sz w:val="24"/>
        </w:rPr>
        <w:t>提供</w:t>
      </w:r>
      <w:r>
        <w:rPr>
          <w:rFonts w:hint="eastAsia"/>
          <w:color w:val="0000FF"/>
          <w:sz w:val="24"/>
          <w:lang w:val="en-US" w:eastAsia="zh-CN"/>
        </w:rPr>
        <w:t>以下</w:t>
      </w:r>
      <w:r>
        <w:rPr>
          <w:rFonts w:hint="eastAsia"/>
          <w:color w:val="0000FF"/>
          <w:sz w:val="24"/>
        </w:rPr>
        <w:t>资料：</w:t>
      </w:r>
      <w:bookmarkStart w:id="0" w:name="_GoBack"/>
      <w:bookmarkEnd w:id="0"/>
    </w:p>
    <w:p>
      <w:pPr>
        <w:spacing w:line="440" w:lineRule="exact"/>
        <w:rPr>
          <w:rFonts w:hint="eastAsia"/>
          <w:b/>
          <w:color w:val="0000FF"/>
          <w:sz w:val="24"/>
        </w:rPr>
      </w:pPr>
      <w:r>
        <w:rPr>
          <w:rFonts w:hint="eastAsia"/>
          <w:b/>
          <w:bCs/>
          <w:color w:val="0000FF"/>
          <w:sz w:val="24"/>
          <w:lang w:val="en-US" w:eastAsia="zh-CN"/>
        </w:rPr>
        <w:t>报价单、用户需求</w:t>
      </w:r>
      <w:r>
        <w:rPr>
          <w:rFonts w:hint="eastAsia"/>
          <w:b/>
          <w:color w:val="0000FF"/>
          <w:sz w:val="24"/>
        </w:rPr>
        <w:t>偏离情况表、供应商</w:t>
      </w:r>
      <w:r>
        <w:rPr>
          <w:rFonts w:hint="eastAsia"/>
          <w:b/>
          <w:color w:val="0000FF"/>
          <w:sz w:val="24"/>
          <w:lang w:val="en-US" w:eastAsia="zh-CN"/>
        </w:rPr>
        <w:t>资质</w:t>
      </w:r>
      <w:r>
        <w:rPr>
          <w:rFonts w:hint="eastAsia"/>
          <w:b/>
          <w:color w:val="0000FF"/>
          <w:sz w:val="24"/>
        </w:rPr>
        <w:t>证件</w:t>
      </w:r>
      <w:r>
        <w:rPr>
          <w:rFonts w:hint="eastAsia"/>
          <w:b/>
          <w:color w:val="0000FF"/>
          <w:sz w:val="24"/>
          <w:lang w:eastAsia="zh-CN"/>
        </w:rPr>
        <w:t>、</w:t>
      </w:r>
      <w:r>
        <w:rPr>
          <w:rFonts w:hint="eastAsia"/>
          <w:b/>
          <w:color w:val="0000FF"/>
          <w:sz w:val="24"/>
          <w:lang w:val="en-US" w:eastAsia="zh-CN"/>
        </w:rPr>
        <w:t>服务方案</w:t>
      </w:r>
      <w:r>
        <w:rPr>
          <w:rFonts w:hint="eastAsia"/>
          <w:b/>
          <w:color w:val="0000FF"/>
          <w:sz w:val="24"/>
        </w:rPr>
        <w:t>等。</w:t>
      </w:r>
    </w:p>
    <w:p>
      <w:pPr>
        <w:spacing w:line="440" w:lineRule="exact"/>
        <w:jc w:val="center"/>
        <w:rPr>
          <w:rFonts w:hint="eastAsia"/>
          <w:b/>
          <w:bCs/>
          <w:sz w:val="44"/>
          <w:szCs w:val="44"/>
        </w:rPr>
      </w:pPr>
    </w:p>
    <w:p>
      <w:pPr>
        <w:spacing w:line="440" w:lineRule="exact"/>
        <w:jc w:val="center"/>
        <w:rPr>
          <w:b/>
          <w:bCs/>
          <w:sz w:val="44"/>
          <w:szCs w:val="44"/>
        </w:rPr>
      </w:pPr>
      <w:r>
        <w:rPr>
          <w:rFonts w:hint="eastAsia"/>
          <w:b/>
          <w:bCs/>
          <w:sz w:val="44"/>
          <w:szCs w:val="44"/>
        </w:rPr>
        <w:t>报价单</w:t>
      </w:r>
    </w:p>
    <w:p>
      <w:pPr>
        <w:spacing w:line="440" w:lineRule="exact"/>
        <w:jc w:val="center"/>
        <w:rPr>
          <w:sz w:val="44"/>
          <w:szCs w:val="44"/>
        </w:rPr>
      </w:pPr>
    </w:p>
    <w:p>
      <w:pPr>
        <w:spacing w:line="440" w:lineRule="exact"/>
        <w:rPr>
          <w:sz w:val="32"/>
          <w:szCs w:val="32"/>
        </w:rPr>
      </w:pPr>
      <w:r>
        <w:rPr>
          <w:rFonts w:hint="eastAsia"/>
          <w:sz w:val="32"/>
          <w:szCs w:val="32"/>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44" w:type="dxa"/>
          </w:tcPr>
          <w:p>
            <w:pPr>
              <w:spacing w:line="360" w:lineRule="auto"/>
              <w:jc w:val="center"/>
              <w:rPr>
                <w:sz w:val="28"/>
                <w:szCs w:val="28"/>
              </w:rPr>
            </w:pPr>
            <w:r>
              <w:rPr>
                <w:rFonts w:hint="eastAsia"/>
                <w:sz w:val="28"/>
                <w:szCs w:val="28"/>
                <w:lang w:val="en-US" w:eastAsia="zh-CN"/>
              </w:rPr>
              <w:t>项目</w:t>
            </w:r>
            <w:r>
              <w:rPr>
                <w:rFonts w:hint="eastAsia"/>
                <w:sz w:val="28"/>
                <w:szCs w:val="28"/>
              </w:rPr>
              <w:t>名称</w:t>
            </w:r>
          </w:p>
        </w:tc>
        <w:tc>
          <w:tcPr>
            <w:tcW w:w="4650" w:type="dxa"/>
          </w:tcPr>
          <w:p>
            <w:pPr>
              <w:spacing w:line="360" w:lineRule="auto"/>
              <w:jc w:val="center"/>
              <w:rPr>
                <w:sz w:val="28"/>
                <w:szCs w:val="28"/>
              </w:rPr>
            </w:pPr>
            <w:r>
              <w:rPr>
                <w:rFonts w:hint="eastAsia"/>
                <w:sz w:val="28"/>
                <w:szCs w:val="28"/>
              </w:rPr>
              <w:t>新型冠状病毒核酸检测第三方检测服务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44" w:type="dxa"/>
          </w:tcPr>
          <w:p>
            <w:pPr>
              <w:spacing w:line="360" w:lineRule="auto"/>
              <w:jc w:val="center"/>
              <w:rPr>
                <w:rFonts w:hint="eastAsia" w:eastAsia="宋体"/>
                <w:sz w:val="28"/>
                <w:szCs w:val="28"/>
                <w:lang w:val="en-US" w:eastAsia="zh-CN"/>
              </w:rPr>
            </w:pPr>
            <w:r>
              <w:rPr>
                <w:rFonts w:hint="eastAsia"/>
                <w:sz w:val="28"/>
                <w:szCs w:val="28"/>
                <w:lang w:val="en-US" w:eastAsia="zh-CN"/>
              </w:rPr>
              <w:t>服务</w:t>
            </w:r>
            <w:r>
              <w:rPr>
                <w:rFonts w:hint="eastAsia"/>
                <w:sz w:val="28"/>
                <w:szCs w:val="28"/>
              </w:rPr>
              <w:t>期</w:t>
            </w:r>
          </w:p>
        </w:tc>
        <w:tc>
          <w:tcPr>
            <w:tcW w:w="4650" w:type="dxa"/>
          </w:tcPr>
          <w:p>
            <w:pPr>
              <w:spacing w:line="360" w:lineRule="auto"/>
              <w:jc w:val="center"/>
              <w:rPr>
                <w:rFonts w:hint="default" w:eastAsia="宋体"/>
                <w:sz w:val="28"/>
                <w:szCs w:val="28"/>
                <w:lang w:val="en-US" w:eastAsia="zh-CN"/>
              </w:rPr>
            </w:pPr>
            <w:r>
              <w:rPr>
                <w:rFonts w:hint="eastAsia"/>
                <w:sz w:val="28"/>
                <w:szCs w:val="28"/>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44" w:type="dxa"/>
          </w:tcPr>
          <w:p>
            <w:pPr>
              <w:spacing w:line="360" w:lineRule="auto"/>
              <w:jc w:val="center"/>
              <w:rPr>
                <w:rFonts w:hint="default" w:eastAsia="宋体"/>
                <w:sz w:val="28"/>
                <w:szCs w:val="28"/>
                <w:lang w:val="en-US" w:eastAsia="zh-CN"/>
              </w:rPr>
            </w:pPr>
            <w:r>
              <w:rPr>
                <w:rFonts w:hint="eastAsia"/>
                <w:sz w:val="28"/>
                <w:szCs w:val="28"/>
                <w:lang w:val="en-US" w:eastAsia="zh-CN"/>
              </w:rPr>
              <w:t>折扣率</w:t>
            </w:r>
            <w:r>
              <w:rPr>
                <w:rFonts w:hint="eastAsia" w:ascii="仿宋" w:hAnsi="仿宋" w:eastAsia="仿宋" w:cs="仿宋"/>
                <w:color w:val="0000FF"/>
                <w:sz w:val="21"/>
                <w:szCs w:val="21"/>
                <w:lang w:val="en-US" w:eastAsia="zh-CN"/>
              </w:rPr>
              <w:t>（＝（采购单位实际支付单价÷按收费标准的应付费用）×100％。）</w:t>
            </w:r>
          </w:p>
        </w:tc>
        <w:tc>
          <w:tcPr>
            <w:tcW w:w="4650" w:type="dxa"/>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2344" w:type="dxa"/>
          </w:tcPr>
          <w:p>
            <w:pPr>
              <w:spacing w:line="360" w:lineRule="auto"/>
              <w:jc w:val="center"/>
              <w:rPr>
                <w:rFonts w:hint="default" w:eastAsia="宋体"/>
                <w:sz w:val="28"/>
                <w:szCs w:val="28"/>
                <w:lang w:val="en-US" w:eastAsia="zh-CN"/>
              </w:rPr>
            </w:pPr>
            <w:r>
              <w:rPr>
                <w:rFonts w:hint="eastAsia"/>
                <w:sz w:val="28"/>
                <w:szCs w:val="28"/>
                <w:lang w:val="en-US" w:eastAsia="zh-CN"/>
              </w:rPr>
              <w:t>是否完全满足用户需求</w:t>
            </w:r>
          </w:p>
        </w:tc>
        <w:tc>
          <w:tcPr>
            <w:tcW w:w="4650" w:type="dxa"/>
          </w:tcPr>
          <w:p>
            <w:pPr>
              <w:spacing w:line="360" w:lineRule="auto"/>
              <w:jc w:val="center"/>
              <w:rPr>
                <w:rFonts w:hint="default" w:eastAsia="宋体"/>
                <w:sz w:val="28"/>
                <w:szCs w:val="28"/>
                <w:lang w:val="en-US" w:eastAsia="zh-CN"/>
              </w:rPr>
            </w:pPr>
            <w:r>
              <w:rPr>
                <w:rFonts w:hint="eastAsia"/>
                <w:color w:val="0000FF"/>
                <w:sz w:val="21"/>
                <w:szCs w:val="21"/>
                <w:lang w:val="en-US" w:eastAsia="zh-CN"/>
              </w:rPr>
              <w:t>如不满足请提供偏离情况表</w:t>
            </w:r>
          </w:p>
        </w:tc>
      </w:tr>
    </w:tbl>
    <w:p>
      <w:pPr>
        <w:jc w:val="center"/>
        <w:rPr>
          <w:sz w:val="28"/>
          <w:szCs w:val="28"/>
        </w:rPr>
      </w:pPr>
      <w:r>
        <w:rPr>
          <w:rFonts w:hint="eastAsia"/>
          <w:sz w:val="28"/>
          <w:szCs w:val="28"/>
        </w:rPr>
        <w:t xml:space="preserve">                             </w:t>
      </w:r>
    </w:p>
    <w:p>
      <w:pPr>
        <w:jc w:val="cente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left"/>
        <w:rPr>
          <w:rFonts w:hint="eastAsia"/>
          <w:sz w:val="28"/>
          <w:szCs w:val="28"/>
        </w:rPr>
      </w:pPr>
    </w:p>
    <w:p>
      <w:pPr>
        <w:jc w:val="left"/>
        <w:rPr>
          <w:sz w:val="28"/>
          <w:szCs w:val="28"/>
        </w:rPr>
      </w:pPr>
      <w:r>
        <w:rPr>
          <w:rFonts w:hint="eastAsia"/>
          <w:sz w:val="28"/>
          <w:szCs w:val="28"/>
        </w:rPr>
        <w:t>报价公司（盖章）：</w:t>
      </w:r>
    </w:p>
    <w:p>
      <w:pPr>
        <w:jc w:val="left"/>
        <w:rPr>
          <w:sz w:val="28"/>
          <w:szCs w:val="28"/>
        </w:rPr>
      </w:pPr>
      <w:r>
        <w:rPr>
          <w:rFonts w:hint="eastAsia"/>
          <w:sz w:val="28"/>
          <w:szCs w:val="28"/>
        </w:rPr>
        <w:t>报价联系人：</w:t>
      </w:r>
    </w:p>
    <w:p>
      <w:pPr>
        <w:jc w:val="left"/>
        <w:rPr>
          <w:sz w:val="28"/>
          <w:szCs w:val="28"/>
        </w:rPr>
      </w:pPr>
      <w:r>
        <w:rPr>
          <w:rFonts w:hint="eastAsia"/>
          <w:sz w:val="28"/>
          <w:szCs w:val="28"/>
        </w:rPr>
        <w:t>联系方式：</w:t>
      </w:r>
    </w:p>
    <w:p>
      <w:pPr>
        <w:jc w:val="left"/>
        <w:rPr>
          <w:sz w:val="28"/>
          <w:szCs w:val="28"/>
        </w:rPr>
      </w:pPr>
      <w:r>
        <w:rPr>
          <w:rFonts w:hint="eastAsia"/>
          <w:sz w:val="28"/>
          <w:szCs w:val="28"/>
        </w:rPr>
        <w:t>邮箱：</w:t>
      </w:r>
    </w:p>
    <w:p>
      <w:pPr>
        <w:jc w:val="left"/>
        <w:rPr>
          <w:sz w:val="28"/>
          <w:szCs w:val="28"/>
        </w:rPr>
      </w:pPr>
      <w:r>
        <w:rPr>
          <w:rFonts w:hint="eastAsia"/>
          <w:sz w:val="28"/>
          <w:szCs w:val="28"/>
        </w:rPr>
        <w:t>报价时间：</w:t>
      </w:r>
    </w:p>
    <w:p>
      <w:pPr>
        <w:spacing w:line="440" w:lineRule="exact"/>
        <w:rPr>
          <w:sz w:val="24"/>
        </w:rPr>
      </w:pPr>
    </w:p>
    <w:p>
      <w:pPr>
        <w:spacing w:line="440" w:lineRule="exact"/>
        <w:rPr>
          <w:sz w:val="24"/>
        </w:rPr>
      </w:pPr>
    </w:p>
    <w:p>
      <w:pPr>
        <w:spacing w:line="440" w:lineRule="exact"/>
        <w:rPr>
          <w:sz w:val="24"/>
        </w:rPr>
      </w:pPr>
    </w:p>
    <w:p>
      <w:pPr>
        <w:spacing w:line="440" w:lineRule="exact"/>
        <w:rPr>
          <w:rFonts w:hint="eastAsia"/>
          <w:b/>
          <w:sz w:val="24"/>
        </w:rPr>
      </w:pPr>
    </w:p>
    <w:p>
      <w:pPr>
        <w:spacing w:line="440" w:lineRule="exact"/>
        <w:jc w:val="center"/>
        <w:rPr>
          <w:rFonts w:hint="eastAsia"/>
          <w:b/>
          <w:sz w:val="32"/>
          <w:szCs w:val="32"/>
          <w:lang w:val="en-US" w:eastAsia="zh-CN"/>
        </w:rPr>
      </w:pPr>
    </w:p>
    <w:p>
      <w:pPr>
        <w:spacing w:line="440" w:lineRule="exact"/>
        <w:jc w:val="center"/>
        <w:rPr>
          <w:b/>
          <w:sz w:val="32"/>
          <w:szCs w:val="32"/>
        </w:rPr>
      </w:pPr>
      <w:r>
        <w:rPr>
          <w:rFonts w:hint="eastAsia"/>
          <w:b/>
          <w:sz w:val="32"/>
          <w:szCs w:val="32"/>
          <w:lang w:val="en-US" w:eastAsia="zh-CN"/>
        </w:rPr>
        <w:t>用户需求</w:t>
      </w:r>
      <w:r>
        <w:rPr>
          <w:rFonts w:hint="eastAsia"/>
          <w:b/>
          <w:sz w:val="32"/>
          <w:szCs w:val="32"/>
        </w:rPr>
        <w:t>偏离情况表</w:t>
      </w:r>
    </w:p>
    <w:p>
      <w:pPr>
        <w:numPr>
          <w:ilvl w:val="0"/>
          <w:numId w:val="0"/>
        </w:numPr>
        <w:tabs>
          <w:tab w:val="left" w:pos="720"/>
        </w:tabs>
        <w:spacing w:line="340" w:lineRule="exact"/>
        <w:jc w:val="center"/>
        <w:rPr>
          <w:rFonts w:hint="eastAsia" w:asciiTheme="minorEastAsia" w:hAnsiTheme="minorEastAsia" w:eastAsiaTheme="minorEastAsia" w:cstheme="minorEastAsia"/>
          <w:color w:val="FF0000"/>
          <w:sz w:val="24"/>
        </w:rPr>
      </w:pPr>
    </w:p>
    <w:p>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1"/>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pStyle w:val="2"/>
        <w:jc w:val="center"/>
        <w:rPr>
          <w:sz w:val="44"/>
          <w:szCs w:val="44"/>
          <w:highlight w:val="none"/>
        </w:rPr>
      </w:pPr>
    </w:p>
    <w:p>
      <w:pPr>
        <w:pStyle w:val="2"/>
        <w:jc w:val="center"/>
        <w:rPr>
          <w:sz w:val="44"/>
          <w:szCs w:val="44"/>
          <w:highlight w:val="none"/>
        </w:rPr>
      </w:pPr>
    </w:p>
    <w:p>
      <w:pPr>
        <w:pStyle w:val="2"/>
        <w:jc w:val="center"/>
        <w:rPr>
          <w:sz w:val="44"/>
          <w:szCs w:val="44"/>
          <w:highlight w:val="none"/>
        </w:rPr>
      </w:pPr>
      <w:r>
        <w:rPr>
          <w:sz w:val="44"/>
          <w:szCs w:val="44"/>
          <w:highlight w:val="none"/>
        </w:rPr>
        <w:t>用户需求书</w:t>
      </w:r>
    </w:p>
    <w:p>
      <w:pPr>
        <w:numPr>
          <w:ilvl w:val="0"/>
          <w:numId w:val="2"/>
        </w:numPr>
        <w:spacing w:line="440" w:lineRule="exact"/>
        <w:outlineLvl w:val="1"/>
        <w:rPr>
          <w:rFonts w:asciiTheme="majorHAnsi" w:hAnsiTheme="majorHAnsi" w:eastAsiaTheme="majorEastAsia" w:cstheme="majorBidi"/>
          <w:b/>
          <w:bCs/>
          <w:sz w:val="32"/>
          <w:szCs w:val="32"/>
          <w:highlight w:val="none"/>
        </w:rPr>
      </w:pPr>
      <w:r>
        <w:rPr>
          <w:rFonts w:hint="eastAsia" w:asciiTheme="majorHAnsi" w:hAnsiTheme="majorHAnsi" w:eastAsiaTheme="majorEastAsia" w:cstheme="majorBidi"/>
          <w:b/>
          <w:bCs/>
          <w:sz w:val="32"/>
          <w:szCs w:val="32"/>
          <w:highlight w:val="none"/>
        </w:rPr>
        <w:t>项目概况：</w:t>
      </w:r>
    </w:p>
    <w:p>
      <w:pPr>
        <w:spacing w:line="360" w:lineRule="auto"/>
        <w:rPr>
          <w:rFonts w:ascii="宋体" w:hAnsi="宋体" w:eastAsia="宋体" w:cs="宋体"/>
          <w:highlight w:val="none"/>
        </w:rPr>
      </w:pPr>
      <w:r>
        <w:rPr>
          <w:rFonts w:hint="eastAsia" w:ascii="宋体" w:hAnsi="宋体" w:eastAsia="宋体" w:cs="宋体"/>
          <w:highlight w:val="none"/>
        </w:rPr>
        <w:t>1、招标文件中凡有“★”标识的内容条款为关键条款，投标人必须对此作出回答并完全满足这些要求不可以出现任何负偏离，对这些关键条款的任何负偏离将视为无效投标。加注“▲”的内容为重点评标项目，投标供应商必须对该标识项目按照要求进行真实应答描述,但不作为无效投标条款。</w:t>
      </w:r>
    </w:p>
    <w:p>
      <w:pPr>
        <w:spacing w:line="360" w:lineRule="auto"/>
        <w:rPr>
          <w:rFonts w:ascii="宋体" w:hAnsi="宋体" w:eastAsia="宋体" w:cs="宋体"/>
          <w:highlight w:val="none"/>
        </w:rPr>
      </w:pPr>
      <w:r>
        <w:rPr>
          <w:rFonts w:hint="eastAsia" w:ascii="宋体" w:hAnsi="宋体" w:eastAsia="宋体" w:cs="宋体"/>
          <w:highlight w:val="none"/>
        </w:rPr>
        <w:t>2、本次采购的项目及范围为：</w:t>
      </w:r>
      <w:r>
        <w:rPr>
          <w:rFonts w:hint="eastAsia"/>
          <w:highlight w:val="none"/>
        </w:rPr>
        <w:t>中山市小榄人民医院新型冠状病毒核酸检测第三方检测服务采购项目</w:t>
      </w:r>
      <w:r>
        <w:rPr>
          <w:rFonts w:hint="eastAsia" w:ascii="宋体" w:hAnsi="宋体" w:eastAsia="宋体" w:cs="宋体"/>
          <w:highlight w:val="none"/>
        </w:rPr>
        <w:t>，拟通过公开招标的形式确认1家服务单位。</w:t>
      </w:r>
    </w:p>
    <w:p>
      <w:pPr>
        <w:spacing w:line="360" w:lineRule="auto"/>
        <w:rPr>
          <w:rFonts w:ascii="宋体" w:hAnsi="宋体" w:eastAsia="宋体" w:cs="宋体"/>
          <w:highlight w:val="none"/>
        </w:rPr>
      </w:pPr>
      <w:r>
        <w:rPr>
          <w:rFonts w:hint="eastAsia" w:ascii="宋体" w:hAnsi="宋体" w:eastAsia="宋体" w:cs="宋体"/>
          <w:highlight w:val="none"/>
        </w:rPr>
        <w:t>3、采购预算：人民币1800万元。</w:t>
      </w:r>
    </w:p>
    <w:p>
      <w:pPr>
        <w:spacing w:line="360" w:lineRule="auto"/>
        <w:rPr>
          <w:highlight w:val="none"/>
        </w:rPr>
      </w:pPr>
      <w:r>
        <w:rPr>
          <w:rFonts w:hint="eastAsia" w:ascii="宋体" w:hAnsi="宋体" w:eastAsia="宋体" w:cs="宋体"/>
          <w:snapToGrid w:val="0"/>
          <w:color w:val="000000" w:themeColor="text1"/>
          <w:szCs w:val="21"/>
          <w:highlight w:val="none"/>
          <w:lang w:val="en-GB"/>
          <w14:textFill>
            <w14:solidFill>
              <w14:schemeClr w14:val="tx1"/>
            </w14:solidFill>
          </w14:textFill>
        </w:rPr>
        <w:t>★</w:t>
      </w:r>
      <w:r>
        <w:rPr>
          <w:rFonts w:hint="eastAsia"/>
          <w:highlight w:val="none"/>
        </w:rPr>
        <w:t>4、</w:t>
      </w:r>
      <w:r>
        <w:rPr>
          <w:highlight w:val="none"/>
        </w:rPr>
        <w:t>服务期三年，合同一年一签，按合同考核要求，考核合格续签第二年，合同期不超三年。当服务期满三年或合同金额累计达到预算金额1</w:t>
      </w:r>
      <w:r>
        <w:rPr>
          <w:rFonts w:hint="eastAsia"/>
          <w:highlight w:val="none"/>
        </w:rPr>
        <w:t>8</w:t>
      </w:r>
      <w:r>
        <w:rPr>
          <w:highlight w:val="none"/>
        </w:rPr>
        <w:t>00万元时（以先到为准），该合同自动终止。</w:t>
      </w:r>
    </w:p>
    <w:p>
      <w:pPr>
        <w:spacing w:line="360" w:lineRule="auto"/>
        <w:rPr>
          <w:highlight w:val="none"/>
        </w:rPr>
      </w:pPr>
      <w:r>
        <w:rPr>
          <w:highlight w:val="none"/>
        </w:rPr>
        <w:t>5</w:t>
      </w:r>
      <w:r>
        <w:rPr>
          <w:rFonts w:hint="eastAsia"/>
          <w:highlight w:val="none"/>
        </w:rPr>
        <w:t>、本项目</w:t>
      </w:r>
      <w:r>
        <w:rPr>
          <w:highlight w:val="none"/>
        </w:rPr>
        <w:t>为服务类项目，</w:t>
      </w:r>
      <w:r>
        <w:rPr>
          <w:rFonts w:hint="eastAsia"/>
          <w:highlight w:val="none"/>
        </w:rPr>
        <w:t>中小企业划分标准所属行业为：其他未列明行业。</w:t>
      </w:r>
    </w:p>
    <w:p>
      <w:pPr>
        <w:spacing w:line="360" w:lineRule="auto"/>
        <w:rPr>
          <w:rFonts w:ascii="宋体" w:hAnsi="宋体" w:eastAsia="宋体" w:cs="宋体"/>
          <w:highlight w:val="none"/>
        </w:rPr>
      </w:pPr>
      <w:r>
        <w:rPr>
          <w:highlight w:val="none"/>
        </w:rPr>
        <w:t>6</w:t>
      </w:r>
      <w:r>
        <w:rPr>
          <w:rFonts w:hint="eastAsia"/>
          <w:highlight w:val="none"/>
        </w:rPr>
        <w:t>、本项目</w:t>
      </w:r>
      <w:r>
        <w:rPr>
          <w:highlight w:val="none"/>
        </w:rPr>
        <w:t>不属于专门面向中小企业采购的项目。</w:t>
      </w:r>
    </w:p>
    <w:p>
      <w:pPr>
        <w:pStyle w:val="2"/>
        <w:rPr>
          <w:highlight w:val="none"/>
        </w:rPr>
      </w:pPr>
      <w:r>
        <w:rPr>
          <w:rFonts w:hint="eastAsia"/>
          <w:highlight w:val="none"/>
        </w:rPr>
        <w:t>二、投标人资格要求</w:t>
      </w:r>
    </w:p>
    <w:p>
      <w:pPr>
        <w:adjustRightInd w:val="0"/>
        <w:snapToGrid w:val="0"/>
        <w:spacing w:line="44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1、投标人应具备《中华人民共和国政府采购法》第二十二条规定的条件，提供下列材料：</w:t>
      </w:r>
    </w:p>
    <w:p>
      <w:pPr>
        <w:adjustRightInd w:val="0"/>
        <w:snapToGrid w:val="0"/>
        <w:spacing w:line="44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具有独立承担民事责任的能力：提供在中华人民共和国境内注册的法人或其他组织的营业执照或事业单位法人证书或社会团体法人登记证书，如供应商为自然人的提供自然人身份证明；如国家另有规定的，则从其规定。（分支机构投标，须提供具有总公司出具给分支机构的授权书，并提供总公司和分支机构的营业执照。已由总公司授权的，总公司取得的相关资质证书对分支机构有效，法律法规或者行业另有规定的除外。）</w:t>
      </w:r>
    </w:p>
    <w:p>
      <w:pPr>
        <w:adjustRightInd w:val="0"/>
        <w:snapToGrid w:val="0"/>
        <w:spacing w:line="44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有依法缴纳税收和社会保障资金的良好记录：①提供2022年1月1日至今任意1个月的依法缴纳税收的证明文件，如依法免税的，应提供相应文件证明其依法免税；②提供2022年1月1日至今任意1个月的依法缴纳社会保险的证明文件，如依法不需要缴纳社会保障资金的，应提供相应文件证明其依法不需要缴纳社会保障资金。</w:t>
      </w:r>
    </w:p>
    <w:p>
      <w:pPr>
        <w:adjustRightInd w:val="0"/>
        <w:snapToGrid w:val="0"/>
        <w:spacing w:line="44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3）具有良好的商业信誉和健全的财务会计制度：提供2020年度财务状况报告或2021年1</w:t>
      </w:r>
      <w:r>
        <w:rPr>
          <w:rFonts w:ascii="宋体" w:hAnsi="宋体" w:eastAsia="宋体" w:cs="Times New Roman"/>
          <w:szCs w:val="21"/>
          <w:highlight w:val="none"/>
        </w:rPr>
        <w:t>1</w:t>
      </w:r>
      <w:r>
        <w:rPr>
          <w:rFonts w:hint="eastAsia" w:ascii="宋体" w:hAnsi="宋体" w:eastAsia="宋体" w:cs="Times New Roman"/>
          <w:szCs w:val="21"/>
          <w:highlight w:val="none"/>
        </w:rPr>
        <w:t>月1日至今任意1个月的财务报表；或银行出具的资信证明材料。</w:t>
      </w:r>
    </w:p>
    <w:p>
      <w:pPr>
        <w:adjustRightInd w:val="0"/>
        <w:snapToGrid w:val="0"/>
        <w:spacing w:line="440" w:lineRule="exact"/>
        <w:rPr>
          <w:rFonts w:hint="eastAsia" w:ascii="宋体" w:hAnsi="宋体" w:eastAsia="宋体" w:cs="Times New Roman"/>
          <w:szCs w:val="21"/>
          <w:highlight w:val="none"/>
        </w:rPr>
      </w:pPr>
      <w:r>
        <w:rPr>
          <w:rFonts w:hint="eastAsia" w:ascii="宋体" w:hAnsi="宋体" w:eastAsia="宋体" w:cs="Times New Roman"/>
          <w:szCs w:val="21"/>
          <w:highlight w:val="none"/>
        </w:rPr>
        <w:t>4）履行合同所必须的设备和专业技术能力：按投标（响应）文件格式填报设备及专业技术能力情况。</w:t>
      </w:r>
    </w:p>
    <w:p>
      <w:pPr>
        <w:spacing w:line="360" w:lineRule="auto"/>
        <w:rPr>
          <w:rFonts w:ascii="宋体" w:hAnsi="宋体" w:eastAsia="宋体" w:cs="宋体"/>
          <w:highlight w:val="none"/>
        </w:rPr>
      </w:pPr>
      <w:r>
        <w:rPr>
          <w:rFonts w:hint="eastAsia" w:ascii="宋体" w:hAnsi="宋体" w:eastAsia="宋体" w:cs="Times New Roman"/>
          <w:szCs w:val="21"/>
          <w:highlight w:val="none"/>
        </w:rPr>
        <w:t>5）参加采购活动前3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r>
        <w:rPr>
          <w:rFonts w:hint="eastAsia" w:ascii="宋体" w:hAnsi="宋体" w:eastAsia="宋体" w:cs="宋体"/>
          <w:highlight w:val="none"/>
        </w:rPr>
        <w:t xml:space="preserve">。 </w:t>
      </w:r>
    </w:p>
    <w:p>
      <w:pPr>
        <w:spacing w:line="360" w:lineRule="auto"/>
        <w:rPr>
          <w:rFonts w:ascii="宋体" w:hAnsi="宋体" w:eastAsia="宋体" w:cs="宋体"/>
          <w:highlight w:val="none"/>
        </w:rPr>
      </w:pPr>
      <w:r>
        <w:rPr>
          <w:rFonts w:ascii="宋体" w:hAnsi="宋体" w:eastAsia="宋体" w:cs="宋体"/>
          <w:highlight w:val="none"/>
        </w:rPr>
        <w:t>2.</w:t>
      </w:r>
      <w:r>
        <w:rPr>
          <w:rFonts w:hint="eastAsia"/>
          <w:highlight w:val="none"/>
        </w:rPr>
        <w:t xml:space="preserve"> </w:t>
      </w:r>
      <w:r>
        <w:rPr>
          <w:rFonts w:hint="eastAsia" w:ascii="宋体" w:hAnsi="宋体" w:eastAsia="宋体" w:cs="宋体"/>
          <w:highlight w:val="none"/>
        </w:rPr>
        <w:t>投标人未被列入“信用中国”网站(www.creditchina.gov.cn)“记录失信被执行人或税收违法黑名单（即原“重大税收违法案件当事人名单”）记录名单；不处于中国政府采购网(www.ccgp.gov.cn)“政府采购严重违法失信行为信息记录”中的禁止参加政府采购活动期间。（以采购代理机构于投标（响应）截止时间当天在“信用中国”网站（www.creditchina.gov.cn） 及中国政府采购网（http://www.ccgp.gov.cn/）查询结果为准，如相关失信记录已失效，投标人需提供相关证明资料。）</w:t>
      </w:r>
    </w:p>
    <w:p>
      <w:pPr>
        <w:spacing w:line="360" w:lineRule="auto"/>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rPr>
        <w:t>单位负责人为同一人或者存在直接控股、 管理关系的不同投标人，不得同时参加本采购项目（或采购包） 投标（响应）。</w:t>
      </w:r>
    </w:p>
    <w:p>
      <w:pPr>
        <w:spacing w:line="360" w:lineRule="auto"/>
        <w:rPr>
          <w:rFonts w:ascii="宋体" w:hAnsi="宋体" w:eastAsia="宋体" w:cs="宋体"/>
          <w:highlight w:val="none"/>
        </w:rPr>
      </w:pPr>
      <w:r>
        <w:rPr>
          <w:rFonts w:ascii="宋体" w:hAnsi="宋体" w:eastAsia="宋体" w:cs="宋体"/>
          <w:highlight w:val="none"/>
        </w:rPr>
        <w:t>4.</w:t>
      </w:r>
      <w:r>
        <w:rPr>
          <w:rFonts w:hint="eastAsia" w:ascii="宋体" w:hAnsi="宋体" w:eastAsia="宋体" w:cs="宋体"/>
          <w:highlight w:val="none"/>
        </w:rPr>
        <w:t xml:space="preserve">为采购项目提供整体设计、规范编制或者项目管理、监理、检测等服务的供应商，不得再参加该采购项目同一合同项下的其他采购活动。 </w:t>
      </w:r>
    </w:p>
    <w:p>
      <w:pPr>
        <w:spacing w:line="360" w:lineRule="auto"/>
        <w:rPr>
          <w:rFonts w:ascii="宋体" w:hAnsi="宋体" w:eastAsia="宋体" w:cs="宋体"/>
          <w:highlight w:val="none"/>
        </w:rPr>
      </w:pPr>
      <w:r>
        <w:rPr>
          <w:rFonts w:ascii="宋体" w:hAnsi="宋体" w:eastAsia="宋体" w:cs="宋体"/>
          <w:highlight w:val="none"/>
        </w:rPr>
        <w:t>5.</w:t>
      </w:r>
      <w:r>
        <w:rPr>
          <w:rFonts w:hint="eastAsia" w:ascii="宋体" w:hAnsi="宋体" w:eastAsia="宋体" w:cs="宋体"/>
          <w:highlight w:val="none"/>
        </w:rPr>
        <w:t>投标人须具有有效期内的《医疗机构执业许可证》，提供证书复印件；</w:t>
      </w:r>
    </w:p>
    <w:p>
      <w:pPr>
        <w:spacing w:line="360" w:lineRule="auto"/>
        <w:rPr>
          <w:rFonts w:ascii="宋体" w:hAnsi="宋体" w:eastAsia="宋体" w:cs="宋体"/>
          <w:highlight w:val="none"/>
        </w:rPr>
      </w:pPr>
      <w:r>
        <w:rPr>
          <w:rFonts w:hint="eastAsia" w:ascii="宋体" w:hAnsi="宋体" w:eastAsia="宋体" w:cs="宋体"/>
          <w:highlight w:val="none"/>
        </w:rPr>
        <w:t>6.投标人须满足以下条件：</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1）在国家政务服务平台上能查询到的全国核酸检测机构，查询网址为http://gjzwfw.www.gov.cn/fwmh/healthCode/indexNucleic.do；（提供证明材料）</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2）已通过二级或以上生物安全实验室备案且具备PCR实验室条件；（提供证明材料）；</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3）具备有效期内临床基因扩增检验实验室验收合格证书；（提供证明材料）</w:t>
      </w:r>
    </w:p>
    <w:p>
      <w:pPr>
        <w:spacing w:line="360" w:lineRule="auto"/>
        <w:rPr>
          <w:rFonts w:ascii="宋体" w:hAnsi="宋体" w:eastAsia="宋体" w:cs="宋体"/>
          <w:highlight w:val="none"/>
        </w:rPr>
      </w:pPr>
      <w:r>
        <w:rPr>
          <w:rFonts w:hint="eastAsia" w:ascii="宋体" w:hAnsi="宋体" w:eastAsia="宋体" w:cs="宋体"/>
          <w:highlight w:val="none"/>
        </w:rPr>
        <w:t>7.本项目</w:t>
      </w:r>
      <w:r>
        <w:rPr>
          <w:rFonts w:ascii="宋体" w:hAnsi="宋体" w:eastAsia="宋体" w:cs="宋体"/>
          <w:highlight w:val="none"/>
        </w:rPr>
        <w:t>不接受联合体投标。</w:t>
      </w:r>
    </w:p>
    <w:p>
      <w:pPr>
        <w:pStyle w:val="2"/>
        <w:rPr>
          <w:highlight w:val="none"/>
        </w:rPr>
      </w:pPr>
      <w:r>
        <w:rPr>
          <w:highlight w:val="none"/>
        </w:rPr>
        <w:t>二、采购内容</w:t>
      </w:r>
    </w:p>
    <w:tbl>
      <w:tblPr>
        <w:tblStyle w:val="9"/>
        <w:tblW w:w="5089"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453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11" w:type="pct"/>
            <w:vAlign w:val="center"/>
          </w:tcPr>
          <w:p>
            <w:pPr>
              <w:jc w:val="center"/>
              <w:rPr>
                <w:b/>
                <w:highlight w:val="none"/>
              </w:rPr>
            </w:pPr>
            <w:r>
              <w:rPr>
                <w:rFonts w:hint="eastAsia"/>
                <w:b/>
                <w:highlight w:val="none"/>
              </w:rPr>
              <w:t>项目名称</w:t>
            </w:r>
          </w:p>
        </w:tc>
        <w:tc>
          <w:tcPr>
            <w:tcW w:w="2611" w:type="pct"/>
            <w:vAlign w:val="center"/>
          </w:tcPr>
          <w:p>
            <w:pPr>
              <w:jc w:val="center"/>
              <w:rPr>
                <w:b/>
                <w:highlight w:val="none"/>
              </w:rPr>
            </w:pPr>
            <w:r>
              <w:rPr>
                <w:rFonts w:hint="eastAsia"/>
                <w:b/>
                <w:highlight w:val="none"/>
              </w:rPr>
              <w:t>服务期限</w:t>
            </w:r>
          </w:p>
        </w:tc>
        <w:tc>
          <w:tcPr>
            <w:tcW w:w="878" w:type="pct"/>
            <w:vAlign w:val="center"/>
          </w:tcPr>
          <w:p>
            <w:pPr>
              <w:jc w:val="center"/>
              <w:rPr>
                <w:b/>
                <w:highlight w:val="none"/>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11" w:type="pct"/>
            <w:vAlign w:val="center"/>
          </w:tcPr>
          <w:p>
            <w:pPr>
              <w:jc w:val="center"/>
              <w:rPr>
                <w:szCs w:val="21"/>
                <w:highlight w:val="none"/>
              </w:rPr>
            </w:pPr>
            <w:r>
              <w:rPr>
                <w:rFonts w:hint="eastAsia"/>
                <w:highlight w:val="none"/>
              </w:rPr>
              <w:t>新型冠状病毒核酸检测第三方检测服务</w:t>
            </w:r>
          </w:p>
        </w:tc>
        <w:tc>
          <w:tcPr>
            <w:tcW w:w="2611" w:type="pct"/>
            <w:vAlign w:val="center"/>
          </w:tcPr>
          <w:p>
            <w:pPr>
              <w:jc w:val="center"/>
              <w:rPr>
                <w:szCs w:val="21"/>
                <w:highlight w:val="none"/>
              </w:rPr>
            </w:pPr>
            <w:r>
              <w:rPr>
                <w:rFonts w:hint="eastAsia" w:asciiTheme="minorEastAsia" w:hAnsiTheme="minorEastAsia" w:cstheme="minorEastAsia"/>
                <w:snapToGrid w:val="0"/>
                <w:color w:val="000000" w:themeColor="text1"/>
                <w:szCs w:val="21"/>
                <w:highlight w:val="none"/>
                <w14:textFill>
                  <w14:solidFill>
                    <w14:schemeClr w14:val="tx1"/>
                  </w14:solidFill>
                </w14:textFill>
              </w:rPr>
              <w:t>合同签订日起</w:t>
            </w:r>
            <w:r>
              <w:rPr>
                <w:rFonts w:hint="eastAsia" w:asciiTheme="minorEastAsia" w:hAnsiTheme="minorEastAsia" w:cstheme="minorEastAsia"/>
                <w:snapToGrid w:val="0"/>
                <w:color w:val="000000" w:themeColor="text1"/>
                <w:szCs w:val="21"/>
                <w:highlight w:val="none"/>
                <w:u w:val="single"/>
                <w14:textFill>
                  <w14:solidFill>
                    <w14:schemeClr w14:val="tx1"/>
                  </w14:solidFill>
                </w14:textFill>
              </w:rPr>
              <w:t xml:space="preserve"> </w:t>
            </w:r>
            <w:r>
              <w:rPr>
                <w:rFonts w:asciiTheme="minorEastAsia" w:hAnsiTheme="minorEastAsia" w:cstheme="minorEastAsia"/>
                <w:snapToGrid w:val="0"/>
                <w:color w:val="000000" w:themeColor="text1"/>
                <w:szCs w:val="21"/>
                <w:highlight w:val="none"/>
                <w:u w:val="single"/>
                <w14:textFill>
                  <w14:solidFill>
                    <w14:schemeClr w14:val="tx1"/>
                  </w14:solidFill>
                </w14:textFill>
              </w:rPr>
              <w:t xml:space="preserve"> </w:t>
            </w:r>
            <w:r>
              <w:rPr>
                <w:rFonts w:hint="eastAsia" w:asciiTheme="minorEastAsia" w:hAnsiTheme="minorEastAsia" w:cstheme="minorEastAsia"/>
                <w:snapToGrid w:val="0"/>
                <w:color w:val="000000" w:themeColor="text1"/>
                <w:szCs w:val="21"/>
                <w:highlight w:val="none"/>
                <w:u w:val="single"/>
                <w14:textFill>
                  <w14:solidFill>
                    <w14:schemeClr w14:val="tx1"/>
                  </w14:solidFill>
                </w14:textFill>
              </w:rPr>
              <w:t>叁</w:t>
            </w:r>
            <w:r>
              <w:rPr>
                <w:rFonts w:asciiTheme="minorEastAsia" w:hAnsiTheme="minorEastAsia" w:cstheme="minorEastAsia"/>
                <w:snapToGrid w:val="0"/>
                <w:color w:val="000000" w:themeColor="text1"/>
                <w:szCs w:val="21"/>
                <w:highlight w:val="none"/>
                <w:u w:val="single"/>
                <w14:textFill>
                  <w14:solidFill>
                    <w14:schemeClr w14:val="tx1"/>
                  </w14:solidFill>
                </w14:textFill>
              </w:rPr>
              <w:t xml:space="preserve">  </w:t>
            </w:r>
            <w:r>
              <w:rPr>
                <w:rFonts w:hint="eastAsia" w:asciiTheme="minorEastAsia" w:hAnsiTheme="minorEastAsia" w:cstheme="minorEastAsia"/>
                <w:snapToGrid w:val="0"/>
                <w:color w:val="000000" w:themeColor="text1"/>
                <w:szCs w:val="21"/>
                <w:highlight w:val="none"/>
                <w:u w:val="single"/>
                <w14:textFill>
                  <w14:solidFill>
                    <w14:schemeClr w14:val="tx1"/>
                  </w14:solidFill>
                </w14:textFill>
              </w:rPr>
              <w:t xml:space="preserve"> </w:t>
            </w:r>
            <w:r>
              <w:rPr>
                <w:rFonts w:hint="eastAsia" w:asciiTheme="minorEastAsia" w:hAnsiTheme="minorEastAsia" w:cstheme="minorEastAsia"/>
                <w:snapToGrid w:val="0"/>
                <w:color w:val="000000" w:themeColor="text1"/>
                <w:szCs w:val="21"/>
                <w:highlight w:val="none"/>
                <w14:textFill>
                  <w14:solidFill>
                    <w14:schemeClr w14:val="tx1"/>
                  </w14:solidFill>
                </w14:textFill>
              </w:rPr>
              <w:t>年</w:t>
            </w:r>
            <w:r>
              <w:rPr>
                <w:rFonts w:hint="eastAsia" w:ascii="宋体" w:hAnsi="宋体" w:cs="宋体"/>
                <w:snapToGrid w:val="0"/>
                <w:color w:val="000000"/>
                <w:szCs w:val="21"/>
                <w:highlight w:val="none"/>
              </w:rPr>
              <w:t>【当服务期满三年或合同金额累计达到预算金额1800万元时（以先到为准），该合同自动终止。】</w:t>
            </w:r>
          </w:p>
        </w:tc>
        <w:tc>
          <w:tcPr>
            <w:tcW w:w="878" w:type="pct"/>
            <w:vAlign w:val="center"/>
          </w:tcPr>
          <w:p>
            <w:pPr>
              <w:jc w:val="center"/>
              <w:rPr>
                <w:szCs w:val="21"/>
                <w:highlight w:val="none"/>
              </w:rPr>
            </w:pPr>
          </w:p>
        </w:tc>
      </w:tr>
    </w:tbl>
    <w:p>
      <w:pPr>
        <w:pStyle w:val="2"/>
        <w:spacing w:line="360" w:lineRule="auto"/>
        <w:rPr>
          <w:highlight w:val="none"/>
        </w:rPr>
      </w:pPr>
      <w:r>
        <w:rPr>
          <w:rFonts w:hint="eastAsia"/>
          <w:highlight w:val="none"/>
        </w:rPr>
        <w:t>三、商务要求</w:t>
      </w:r>
    </w:p>
    <w:p>
      <w:pPr>
        <w:numPr>
          <w:ilvl w:val="0"/>
          <w:numId w:val="3"/>
        </w:numPr>
        <w:spacing w:line="360" w:lineRule="auto"/>
        <w:rPr>
          <w:rFonts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报价要求：</w:t>
      </w:r>
    </w:p>
    <w:p>
      <w:pPr>
        <w:numPr>
          <w:ilvl w:val="0"/>
          <w:numId w:val="4"/>
        </w:numPr>
        <w:adjustRightInd w:val="0"/>
        <w:spacing w:line="360" w:lineRule="auto"/>
        <w:jc w:val="left"/>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投标人应按照《中山市公立医疗机构基本医疗服务价格》（以最新版本为准）及相关政府</w:t>
      </w:r>
      <w:r>
        <w:rPr>
          <w:rFonts w:ascii="宋体" w:hAnsi="宋体" w:eastAsia="宋体" w:cs="宋体"/>
          <w:snapToGrid w:val="0"/>
          <w:color w:val="000000" w:themeColor="text1"/>
          <w:szCs w:val="21"/>
          <w:highlight w:val="none"/>
          <w14:textFill>
            <w14:solidFill>
              <w14:schemeClr w14:val="tx1"/>
            </w14:solidFill>
          </w14:textFill>
        </w:rPr>
        <w:t>部门</w:t>
      </w:r>
      <w:r>
        <w:rPr>
          <w:rFonts w:hint="eastAsia" w:ascii="宋体" w:hAnsi="宋体" w:eastAsia="宋体" w:cs="宋体"/>
          <w:snapToGrid w:val="0"/>
          <w:color w:val="000000" w:themeColor="text1"/>
          <w:szCs w:val="21"/>
          <w:highlight w:val="none"/>
          <w14:textFill>
            <w14:solidFill>
              <w14:schemeClr w14:val="tx1"/>
            </w14:solidFill>
          </w14:textFill>
        </w:rPr>
        <w:t>发布</w:t>
      </w:r>
      <w:r>
        <w:rPr>
          <w:rFonts w:ascii="宋体" w:hAnsi="宋体" w:eastAsia="宋体" w:cs="宋体"/>
          <w:snapToGrid w:val="0"/>
          <w:color w:val="000000" w:themeColor="text1"/>
          <w:szCs w:val="21"/>
          <w:highlight w:val="none"/>
          <w14:textFill>
            <w14:solidFill>
              <w14:schemeClr w14:val="tx1"/>
            </w14:solidFill>
          </w14:textFill>
        </w:rPr>
        <w:t>的</w:t>
      </w:r>
      <w:r>
        <w:rPr>
          <w:rFonts w:hint="eastAsia" w:ascii="宋体" w:hAnsi="宋体" w:eastAsia="宋体" w:cs="宋体"/>
          <w:snapToGrid w:val="0"/>
          <w:color w:val="000000" w:themeColor="text1"/>
          <w:szCs w:val="21"/>
          <w:highlight w:val="none"/>
          <w14:textFill>
            <w14:solidFill>
              <w14:schemeClr w14:val="tx1"/>
            </w14:solidFill>
          </w14:textFill>
        </w:rPr>
        <w:t>最新</w:t>
      </w:r>
      <w:r>
        <w:rPr>
          <w:rFonts w:ascii="宋体" w:hAnsi="宋体" w:eastAsia="宋体" w:cs="宋体"/>
          <w:snapToGrid w:val="0"/>
          <w:color w:val="000000" w:themeColor="text1"/>
          <w:szCs w:val="21"/>
          <w:highlight w:val="none"/>
          <w14:textFill>
            <w14:solidFill>
              <w14:schemeClr w14:val="tx1"/>
            </w14:solidFill>
          </w14:textFill>
        </w:rPr>
        <w:t>价格</w:t>
      </w:r>
      <w:r>
        <w:rPr>
          <w:rFonts w:hint="eastAsia" w:ascii="宋体" w:hAnsi="宋体" w:eastAsia="宋体" w:cs="宋体"/>
          <w:snapToGrid w:val="0"/>
          <w:color w:val="000000" w:themeColor="text1"/>
          <w:szCs w:val="21"/>
          <w:highlight w:val="none"/>
          <w14:textFill>
            <w14:solidFill>
              <w14:schemeClr w14:val="tx1"/>
            </w14:solidFill>
          </w14:textFill>
        </w:rPr>
        <w:t>，对本项目所有检验内容提供统一的比率报价折扣，折扣＝（采购单位实际支付单价÷按收费标准的应付费用）×100％。</w:t>
      </w:r>
    </w:p>
    <w:p>
      <w:pPr>
        <w:numPr>
          <w:ilvl w:val="0"/>
          <w:numId w:val="4"/>
        </w:numPr>
        <w:adjustRightInd w:val="0"/>
        <w:spacing w:line="360" w:lineRule="auto"/>
        <w:jc w:val="left"/>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所报的价格已包括本服务项目相关的各种人力成本、货物成本、资料费、服务费、税费、物流服务、标本采集试管、保存装置及合同实施过程中所需的其它费用等所有成本、费用、相关税费和合理利润（以人民币为结算单位）。</w:t>
      </w:r>
    </w:p>
    <w:p>
      <w:pPr>
        <w:numPr>
          <w:ilvl w:val="0"/>
          <w:numId w:val="3"/>
        </w:numPr>
        <w:spacing w:line="360" w:lineRule="auto"/>
        <w:ind w:left="5" w:hanging="5"/>
        <w:rPr>
          <w:rFonts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
          <w:snapToGrid w:val="0"/>
          <w:szCs w:val="21"/>
          <w:highlight w:val="none"/>
        </w:rPr>
        <w:t>报价方式：</w:t>
      </w:r>
      <w:r>
        <w:rPr>
          <w:rFonts w:hint="eastAsia" w:ascii="宋体" w:hAnsi="宋体" w:eastAsia="宋体" w:cs="宋体"/>
          <w:snapToGrid w:val="0"/>
          <w:color w:val="000000" w:themeColor="text1"/>
          <w:szCs w:val="21"/>
          <w:highlight w:val="none"/>
          <w14:textFill>
            <w14:solidFill>
              <w14:schemeClr w14:val="tx1"/>
            </w14:solidFill>
          </w14:textFill>
        </w:rPr>
        <w:t>投标人以投标折扣进行报价，投标折扣必须为固定报价，不能为区间值。投标报价按《中山市公立医疗机构基本医疗服务价格》（以最新版本为准）及相关政府</w:t>
      </w:r>
      <w:r>
        <w:rPr>
          <w:rFonts w:ascii="宋体" w:hAnsi="宋体" w:eastAsia="宋体" w:cs="宋体"/>
          <w:snapToGrid w:val="0"/>
          <w:color w:val="000000" w:themeColor="text1"/>
          <w:szCs w:val="21"/>
          <w:highlight w:val="none"/>
          <w14:textFill>
            <w14:solidFill>
              <w14:schemeClr w14:val="tx1"/>
            </w14:solidFill>
          </w14:textFill>
        </w:rPr>
        <w:t>部门</w:t>
      </w:r>
      <w:r>
        <w:rPr>
          <w:rFonts w:hint="eastAsia" w:ascii="宋体" w:hAnsi="宋体" w:eastAsia="宋体" w:cs="宋体"/>
          <w:snapToGrid w:val="0"/>
          <w:color w:val="000000" w:themeColor="text1"/>
          <w:szCs w:val="21"/>
          <w:highlight w:val="none"/>
          <w14:textFill>
            <w14:solidFill>
              <w14:schemeClr w14:val="tx1"/>
            </w14:solidFill>
          </w14:textFill>
        </w:rPr>
        <w:t>发布</w:t>
      </w:r>
      <w:r>
        <w:rPr>
          <w:rFonts w:ascii="宋体" w:hAnsi="宋体" w:eastAsia="宋体" w:cs="宋体"/>
          <w:snapToGrid w:val="0"/>
          <w:color w:val="000000" w:themeColor="text1"/>
          <w:szCs w:val="21"/>
          <w:highlight w:val="none"/>
          <w14:textFill>
            <w14:solidFill>
              <w14:schemeClr w14:val="tx1"/>
            </w14:solidFill>
          </w14:textFill>
        </w:rPr>
        <w:t>的</w:t>
      </w:r>
      <w:r>
        <w:rPr>
          <w:rFonts w:hint="eastAsia" w:ascii="宋体" w:hAnsi="宋体" w:eastAsia="宋体" w:cs="宋体"/>
          <w:snapToGrid w:val="0"/>
          <w:color w:val="000000" w:themeColor="text1"/>
          <w:szCs w:val="21"/>
          <w:highlight w:val="none"/>
          <w14:textFill>
            <w14:solidFill>
              <w14:schemeClr w14:val="tx1"/>
            </w14:solidFill>
          </w14:textFill>
        </w:rPr>
        <w:t>最新</w:t>
      </w:r>
      <w:r>
        <w:rPr>
          <w:rFonts w:ascii="宋体" w:hAnsi="宋体" w:eastAsia="宋体" w:cs="宋体"/>
          <w:snapToGrid w:val="0"/>
          <w:color w:val="000000" w:themeColor="text1"/>
          <w:szCs w:val="21"/>
          <w:highlight w:val="none"/>
          <w14:textFill>
            <w14:solidFill>
              <w14:schemeClr w14:val="tx1"/>
            </w14:solidFill>
          </w14:textFill>
        </w:rPr>
        <w:t>价格</w:t>
      </w:r>
      <w:r>
        <w:rPr>
          <w:rFonts w:hint="eastAsia" w:ascii="宋体" w:hAnsi="宋体" w:eastAsia="宋体" w:cs="宋体"/>
          <w:snapToGrid w:val="0"/>
          <w:color w:val="000000" w:themeColor="text1"/>
          <w:szCs w:val="21"/>
          <w:highlight w:val="none"/>
          <w14:textFill>
            <w14:solidFill>
              <w14:schemeClr w14:val="tx1"/>
            </w14:solidFill>
          </w14:textFill>
        </w:rPr>
        <w:t>不高于</w:t>
      </w:r>
      <w:r>
        <w:rPr>
          <w:rFonts w:hint="eastAsia" w:ascii="宋体" w:hAnsi="宋体" w:eastAsia="宋体" w:cs="宋体"/>
          <w:snapToGrid w:val="0"/>
          <w:szCs w:val="21"/>
          <w:highlight w:val="none"/>
        </w:rPr>
        <w:t>60%</w:t>
      </w:r>
      <w:r>
        <w:rPr>
          <w:rFonts w:hint="eastAsia" w:ascii="宋体" w:hAnsi="宋体" w:eastAsia="宋体" w:cs="宋体"/>
          <w:snapToGrid w:val="0"/>
          <w:color w:val="000000" w:themeColor="text1"/>
          <w:szCs w:val="21"/>
          <w:highlight w:val="none"/>
          <w14:textFill>
            <w14:solidFill>
              <w14:schemeClr w14:val="tx1"/>
            </w14:solidFill>
          </w14:textFill>
        </w:rPr>
        <w:t>投标折扣进行报价，高</w:t>
      </w:r>
      <w:r>
        <w:rPr>
          <w:rFonts w:hint="eastAsia" w:ascii="宋体" w:hAnsi="宋体" w:eastAsia="宋体" w:cs="宋体"/>
          <w:snapToGrid w:val="0"/>
          <w:szCs w:val="21"/>
          <w:highlight w:val="none"/>
        </w:rPr>
        <w:t>于60%的投标折扣报价将做废标处理。</w:t>
      </w:r>
      <w:r>
        <w:rPr>
          <w:rStyle w:val="11"/>
          <w:rFonts w:hint="eastAsia"/>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ind w:left="5" w:hanging="5"/>
        <w:rPr>
          <w:rFonts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服务年限：</w:t>
      </w:r>
      <w:r>
        <w:rPr>
          <w:rFonts w:hint="eastAsia" w:ascii="宋体" w:hAnsi="宋体" w:eastAsia="宋体" w:cs="宋体"/>
          <w:bCs/>
          <w:snapToGrid w:val="0"/>
          <w:color w:val="000000" w:themeColor="text1"/>
          <w:szCs w:val="21"/>
          <w:highlight w:val="none"/>
          <w14:textFill>
            <w14:solidFill>
              <w14:schemeClr w14:val="tx1"/>
            </w14:solidFill>
          </w14:textFill>
        </w:rPr>
        <w:t>即自合同签订日起</w:t>
      </w:r>
      <w:r>
        <w:rPr>
          <w:rFonts w:hint="eastAsia" w:ascii="宋体" w:hAnsi="宋体" w:eastAsia="宋体" w:cs="宋体"/>
          <w:bCs/>
          <w:snapToGrid w:val="0"/>
          <w:color w:val="000000" w:themeColor="text1"/>
          <w:szCs w:val="21"/>
          <w:highlight w:val="none"/>
          <w:u w:val="single"/>
          <w14:textFill>
            <w14:solidFill>
              <w14:schemeClr w14:val="tx1"/>
            </w14:solidFill>
          </w14:textFill>
        </w:rPr>
        <w:t>叁</w:t>
      </w:r>
      <w:r>
        <w:rPr>
          <w:rFonts w:hint="eastAsia" w:ascii="宋体" w:hAnsi="宋体" w:eastAsia="宋体" w:cs="宋体"/>
          <w:bCs/>
          <w:snapToGrid w:val="0"/>
          <w:color w:val="000000" w:themeColor="text1"/>
          <w:szCs w:val="21"/>
          <w:highlight w:val="none"/>
          <w14:textFill>
            <w14:solidFill>
              <w14:schemeClr w14:val="tx1"/>
            </w14:solidFill>
          </w14:textFill>
        </w:rPr>
        <w:t>年【</w:t>
      </w:r>
      <w:r>
        <w:rPr>
          <w:highlight w:val="none"/>
        </w:rPr>
        <w:t>当服务期满三年或合同金额累计达到预算金额</w:t>
      </w:r>
      <w:r>
        <w:rPr>
          <w:rFonts w:hint="eastAsia"/>
          <w:highlight w:val="none"/>
        </w:rPr>
        <w:t>1800</w:t>
      </w:r>
      <w:r>
        <w:rPr>
          <w:highlight w:val="none"/>
        </w:rPr>
        <w:t>万元时（ 以先到为准），该合同自动终止</w:t>
      </w:r>
      <w:r>
        <w:rPr>
          <w:rFonts w:hint="eastAsia"/>
          <w:highlight w:val="none"/>
        </w:rPr>
        <w:t>。</w:t>
      </w:r>
      <w:r>
        <w:rPr>
          <w:rFonts w:hint="eastAsia" w:ascii="宋体" w:hAnsi="宋体" w:eastAsia="宋体" w:cs="宋体"/>
          <w:bCs/>
          <w:snapToGrid w:val="0"/>
          <w:color w:val="000000" w:themeColor="text1"/>
          <w:szCs w:val="21"/>
          <w:highlight w:val="none"/>
          <w14:textFill>
            <w14:solidFill>
              <w14:schemeClr w14:val="tx1"/>
            </w14:solidFill>
          </w14:textFill>
        </w:rPr>
        <w:t>】。服务期限采取1+1+1的方式。即先签订一年合同，在一年合同期满后，如采购人对中标人的服务满意且考核合格，经采购人同意，本项目服务期限自动延期一年而不需要重新组织招标。如采购人对中标人所提供的服务不满意（即服务期内两次考核结果低于75分的），采购人有权单方终止合同重新组织招标。在两年合同期满后，按照上述要求执行。</w:t>
      </w:r>
    </w:p>
    <w:p>
      <w:pPr>
        <w:spacing w:line="360" w:lineRule="auto"/>
        <w:rPr>
          <w:rFonts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 xml:space="preserve">  如遇国家或地方疫情防控政策调整，规定不需要再进行核酸检测的，采购人有权终止合同。</w:t>
      </w:r>
    </w:p>
    <w:p>
      <w:pPr>
        <w:numPr>
          <w:ilvl w:val="0"/>
          <w:numId w:val="3"/>
        </w:numPr>
        <w:spacing w:line="360" w:lineRule="auto"/>
        <w:rPr>
          <w:rFonts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服务地点</w:t>
      </w:r>
      <w:r>
        <w:rPr>
          <w:rFonts w:hint="eastAsia" w:ascii="宋体" w:hAnsi="宋体" w:eastAsia="宋体" w:cs="宋体"/>
          <w:bCs/>
          <w:snapToGrid w:val="0"/>
          <w:color w:val="000000" w:themeColor="text1"/>
          <w:szCs w:val="21"/>
          <w:highlight w:val="none"/>
          <w14:textFill>
            <w14:solidFill>
              <w14:schemeClr w14:val="tx1"/>
            </w14:solidFill>
          </w14:textFill>
        </w:rPr>
        <w:t>：采购人指定的地点。</w:t>
      </w:r>
    </w:p>
    <w:p>
      <w:pPr>
        <w:numPr>
          <w:ilvl w:val="0"/>
          <w:numId w:val="3"/>
        </w:numPr>
        <w:spacing w:line="360" w:lineRule="auto"/>
        <w:rPr>
          <w:rFonts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付款和结算方式：</w:t>
      </w:r>
    </w:p>
    <w:p>
      <w:pPr>
        <w:numPr>
          <w:ilvl w:val="0"/>
          <w:numId w:val="5"/>
        </w:numPr>
        <w:spacing w:line="360" w:lineRule="auto"/>
        <w:ind w:left="0" w:firstLine="420" w:firstLineChars="200"/>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按月结算。按照医院收费标准（《中山市公立医疗机构基本医疗服务价格》（以最新版本为准）及相关政府</w:t>
      </w:r>
      <w:r>
        <w:rPr>
          <w:rFonts w:ascii="宋体" w:hAnsi="宋体" w:eastAsia="宋体" w:cs="宋体"/>
          <w:snapToGrid w:val="0"/>
          <w:color w:val="000000" w:themeColor="text1"/>
          <w:szCs w:val="21"/>
          <w:highlight w:val="none"/>
          <w14:textFill>
            <w14:solidFill>
              <w14:schemeClr w14:val="tx1"/>
            </w14:solidFill>
          </w14:textFill>
        </w:rPr>
        <w:t>部门</w:t>
      </w:r>
      <w:r>
        <w:rPr>
          <w:rFonts w:hint="eastAsia" w:ascii="宋体" w:hAnsi="宋体" w:eastAsia="宋体" w:cs="宋体"/>
          <w:snapToGrid w:val="0"/>
          <w:color w:val="000000" w:themeColor="text1"/>
          <w:szCs w:val="21"/>
          <w:highlight w:val="none"/>
          <w14:textFill>
            <w14:solidFill>
              <w14:schemeClr w14:val="tx1"/>
            </w14:solidFill>
          </w14:textFill>
        </w:rPr>
        <w:t>发布</w:t>
      </w:r>
      <w:r>
        <w:rPr>
          <w:rFonts w:ascii="宋体" w:hAnsi="宋体" w:eastAsia="宋体" w:cs="宋体"/>
          <w:snapToGrid w:val="0"/>
          <w:color w:val="000000" w:themeColor="text1"/>
          <w:szCs w:val="21"/>
          <w:highlight w:val="none"/>
          <w14:textFill>
            <w14:solidFill>
              <w14:schemeClr w14:val="tx1"/>
            </w14:solidFill>
          </w14:textFill>
        </w:rPr>
        <w:t>的</w:t>
      </w:r>
      <w:r>
        <w:rPr>
          <w:rFonts w:hint="eastAsia" w:ascii="宋体" w:hAnsi="宋体" w:eastAsia="宋体" w:cs="宋体"/>
          <w:snapToGrid w:val="0"/>
          <w:color w:val="000000" w:themeColor="text1"/>
          <w:szCs w:val="21"/>
          <w:highlight w:val="none"/>
          <w14:textFill>
            <w14:solidFill>
              <w14:schemeClr w14:val="tx1"/>
            </w14:solidFill>
          </w14:textFill>
        </w:rPr>
        <w:t>最新</w:t>
      </w:r>
      <w:r>
        <w:rPr>
          <w:rFonts w:ascii="宋体" w:hAnsi="宋体" w:eastAsia="宋体" w:cs="宋体"/>
          <w:snapToGrid w:val="0"/>
          <w:color w:val="000000" w:themeColor="text1"/>
          <w:szCs w:val="21"/>
          <w:highlight w:val="none"/>
          <w14:textFill>
            <w14:solidFill>
              <w14:schemeClr w14:val="tx1"/>
            </w14:solidFill>
          </w14:textFill>
        </w:rPr>
        <w:t>价格</w:t>
      </w:r>
      <w:r>
        <w:rPr>
          <w:rFonts w:hint="eastAsia" w:ascii="宋体" w:hAnsi="宋体" w:eastAsia="宋体" w:cs="宋体"/>
          <w:snapToGrid w:val="0"/>
          <w:color w:val="000000" w:themeColor="text1"/>
          <w:szCs w:val="21"/>
          <w:highlight w:val="none"/>
          <w14:textFill>
            <w14:solidFill>
              <w14:schemeClr w14:val="tx1"/>
            </w14:solidFill>
          </w14:textFill>
        </w:rPr>
        <w:t>）乘以折扣率后向采购人收取委托检验服务费用。</w:t>
      </w:r>
    </w:p>
    <w:p>
      <w:pPr>
        <w:numPr>
          <w:ilvl w:val="0"/>
          <w:numId w:val="5"/>
        </w:numPr>
        <w:spacing w:line="360" w:lineRule="auto"/>
        <w:ind w:firstLine="0"/>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中标结算价=各项目收费标准×对应中标折扣。</w:t>
      </w:r>
    </w:p>
    <w:p>
      <w:pPr>
        <w:numPr>
          <w:ilvl w:val="0"/>
          <w:numId w:val="5"/>
        </w:numPr>
        <w:spacing w:line="360" w:lineRule="auto"/>
        <w:ind w:left="0" w:firstLine="420" w:firstLineChars="200"/>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每月的结算金额=Σ（采购服务数量×对应项目的单项目中标结算价）,中标人于每月5 日前提供上月送检数量结算明细清单交到给采购人处, 采购人收到资料审核无误后通知中标人开具发票，采购人收到发票后90个工作日内转账支付服务费用。</w:t>
      </w:r>
    </w:p>
    <w:p>
      <w:pPr>
        <w:numPr>
          <w:ilvl w:val="0"/>
          <w:numId w:val="3"/>
        </w:numPr>
        <w:spacing w:line="360" w:lineRule="auto"/>
        <w:ind w:left="5" w:hanging="5"/>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投标人一旦在本项目中获得中标资格，投标时的折扣率在服务期内不作调整。</w:t>
      </w:r>
    </w:p>
    <w:p>
      <w:pPr>
        <w:numPr>
          <w:ilvl w:val="0"/>
          <w:numId w:val="3"/>
        </w:numPr>
        <w:spacing w:line="360" w:lineRule="auto"/>
        <w:ind w:left="5" w:hanging="5"/>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如在服务期限内，检测项目医疗服务价格调整，应自新的服务价格执行时开始，按照调整后的服务价格结算。</w:t>
      </w:r>
    </w:p>
    <w:p>
      <w:pPr>
        <w:spacing w:line="360" w:lineRule="auto"/>
        <w:rPr>
          <w:rFonts w:ascii="宋体" w:hAnsi="宋体" w:eastAsia="宋体" w:cs="宋体"/>
          <w:highlight w:val="none"/>
        </w:rPr>
      </w:pPr>
      <w:r>
        <w:rPr>
          <w:rFonts w:hint="eastAsia" w:ascii="宋体" w:hAnsi="宋体" w:eastAsia="宋体" w:cs="宋体"/>
          <w:highlight w:val="none"/>
        </w:rPr>
        <w:t xml:space="preserve">8. </w:t>
      </w:r>
      <w:r>
        <w:rPr>
          <w:highlight w:val="none"/>
        </w:rPr>
        <w:t>投标人</w:t>
      </w:r>
      <w:r>
        <w:rPr>
          <w:rFonts w:hint="eastAsia"/>
          <w:highlight w:val="none"/>
        </w:rPr>
        <w:t>实验室服务能力满足采购人需求，且服务项目在</w:t>
      </w:r>
      <w:r>
        <w:rPr>
          <w:rFonts w:hint="eastAsia" w:cs="宋体" w:asciiTheme="minorEastAsia" w:hAnsiTheme="minorEastAsia"/>
          <w:szCs w:val="21"/>
          <w:highlight w:val="none"/>
        </w:rPr>
        <w:t>同类项目中业绩突出。</w:t>
      </w:r>
    </w:p>
    <w:p>
      <w:pPr>
        <w:pStyle w:val="16"/>
        <w:widowControl/>
        <w:shd w:val="clear" w:color="auto" w:fill="FFFFFF"/>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highlight w:val="none"/>
        </w:rPr>
        <w:t xml:space="preserve">9. </w:t>
      </w:r>
      <w:r>
        <w:rPr>
          <w:rFonts w:hint="eastAsia" w:ascii="宋体" w:hAnsi="宋体" w:cs="宋体"/>
          <w:color w:val="000000" w:themeColor="text1"/>
          <w:szCs w:val="21"/>
          <w:highlight w:val="none"/>
          <w14:textFill>
            <w14:solidFill>
              <w14:schemeClr w14:val="tx1"/>
            </w14:solidFill>
          </w14:textFill>
        </w:rPr>
        <w:t>投标人实验室具备完整的实验室质量管理体系，具备中国合格评定国家认可委员会（CNAS） ISO15189认可证书；</w:t>
      </w:r>
      <w:r>
        <w:rPr>
          <w:rFonts w:hint="eastAsia" w:ascii="宋体" w:hAnsi="宋体" w:cs="宋体"/>
          <w:highlight w:val="none"/>
        </w:rPr>
        <w:t>（提供证明材料）</w:t>
      </w:r>
    </w:p>
    <w:p>
      <w:pPr>
        <w:pStyle w:val="16"/>
        <w:widowControl/>
        <w:shd w:val="clear" w:color="auto" w:fill="FFFFFF"/>
        <w:spacing w:line="360" w:lineRule="auto"/>
        <w:ind w:firstLine="0" w:firstLineChars="0"/>
        <w:rPr>
          <w:rFonts w:ascii="宋体" w:hAnsi="宋体" w:cs="宋体"/>
          <w:szCs w:val="21"/>
          <w:highlight w:val="none"/>
        </w:rPr>
      </w:pPr>
      <w:r>
        <w:rPr>
          <w:rFonts w:hint="eastAsia" w:ascii="宋体" w:hAnsi="宋体" w:cs="宋体"/>
          <w:szCs w:val="21"/>
          <w:highlight w:val="none"/>
        </w:rPr>
        <w:t>10. 投标人具有由国家认证认可监督管理部门批准设立的认证机构颁发并在有效期内的质量管理体系认证证书、环境管理体系认证证书、职业健康安全管理体系认证证书；</w:t>
      </w:r>
      <w:r>
        <w:rPr>
          <w:rFonts w:hint="eastAsia" w:ascii="宋体" w:hAnsi="宋体" w:cs="宋体"/>
          <w:highlight w:val="none"/>
        </w:rPr>
        <w:t>（提供证明材料）</w:t>
      </w:r>
    </w:p>
    <w:p>
      <w:pPr>
        <w:pStyle w:val="16"/>
        <w:widowControl/>
        <w:shd w:val="clear" w:color="auto" w:fill="FFFFFF"/>
        <w:spacing w:line="360" w:lineRule="auto"/>
        <w:ind w:firstLine="0" w:firstLineChars="0"/>
        <w:rPr>
          <w:rFonts w:ascii="宋体" w:hAnsi="宋体" w:cs="宋体"/>
          <w:szCs w:val="21"/>
          <w:highlight w:val="none"/>
        </w:rPr>
      </w:pPr>
      <w:r>
        <w:rPr>
          <w:rFonts w:hint="eastAsia" w:ascii="宋体" w:hAnsi="宋体" w:cs="宋体"/>
          <w:szCs w:val="21"/>
          <w:highlight w:val="none"/>
        </w:rPr>
        <w:t xml:space="preserve">11. </w:t>
      </w:r>
      <w:r>
        <w:rPr>
          <w:rFonts w:hint="eastAsia"/>
          <w:highlight w:val="none"/>
        </w:rPr>
        <w:t>投标人实验室</w:t>
      </w:r>
      <w:r>
        <w:rPr>
          <w:highlight w:val="none"/>
        </w:rPr>
        <w:t>为</w:t>
      </w:r>
      <w:r>
        <w:rPr>
          <w:rFonts w:hint="eastAsia"/>
          <w:highlight w:val="none"/>
        </w:rPr>
        <w:t>卫生健康部门认可/推介/指定检测</w:t>
      </w:r>
      <w:r>
        <w:rPr>
          <w:highlight w:val="none"/>
        </w:rPr>
        <w:t>服务机构</w:t>
      </w:r>
      <w:r>
        <w:rPr>
          <w:rFonts w:hint="eastAsia"/>
          <w:highlight w:val="none"/>
        </w:rPr>
        <w:t>；</w:t>
      </w:r>
      <w:r>
        <w:rPr>
          <w:rFonts w:hint="eastAsia" w:ascii="宋体" w:hAnsi="宋体" w:cs="宋体"/>
          <w:highlight w:val="none"/>
        </w:rPr>
        <w:t>（提供证明材料）</w:t>
      </w:r>
    </w:p>
    <w:p>
      <w:pPr>
        <w:pStyle w:val="16"/>
        <w:widowControl/>
        <w:shd w:val="clear" w:color="auto" w:fill="FFFFFF"/>
        <w:spacing w:line="360" w:lineRule="auto"/>
        <w:ind w:firstLine="0" w:firstLineChars="0"/>
        <w:rPr>
          <w:rFonts w:ascii="宋体" w:hAnsi="宋体" w:cs="宋体"/>
          <w:szCs w:val="21"/>
          <w:highlight w:val="none"/>
        </w:rPr>
      </w:pPr>
      <w:r>
        <w:rPr>
          <w:rFonts w:hint="eastAsia" w:ascii="宋体" w:hAnsi="宋体" w:cs="宋体"/>
          <w:szCs w:val="21"/>
          <w:highlight w:val="none"/>
        </w:rPr>
        <w:t>12. 投标人具备知识产权管理体系认证证书，认证范围包括临床检验、肿瘤和遗传性疾病基因检测服务的管理；</w:t>
      </w:r>
      <w:r>
        <w:rPr>
          <w:rFonts w:hint="eastAsia" w:ascii="宋体" w:hAnsi="宋体" w:cs="宋体"/>
          <w:highlight w:val="none"/>
        </w:rPr>
        <w:t>（提供证明材料）</w:t>
      </w:r>
    </w:p>
    <w:p>
      <w:pPr>
        <w:pStyle w:val="16"/>
        <w:widowControl/>
        <w:shd w:val="clear" w:color="auto" w:fill="FFFFFF"/>
        <w:spacing w:line="360" w:lineRule="auto"/>
        <w:ind w:firstLine="0" w:firstLineChars="0"/>
        <w:rPr>
          <w:rFonts w:ascii="宋体" w:hAnsi="宋体" w:cs="宋体"/>
          <w:szCs w:val="21"/>
          <w:highlight w:val="none"/>
        </w:rPr>
      </w:pPr>
      <w:r>
        <w:rPr>
          <w:rFonts w:hint="eastAsia" w:ascii="宋体" w:hAnsi="宋体" w:cs="宋体"/>
          <w:szCs w:val="21"/>
          <w:highlight w:val="none"/>
        </w:rPr>
        <w:t>13. 投标人生物医药高技术服务相关研究及应用项目获得过国家级科技部项目立项支持证书；</w:t>
      </w:r>
      <w:r>
        <w:rPr>
          <w:rFonts w:hint="eastAsia" w:ascii="宋体" w:hAnsi="宋体" w:cs="宋体"/>
          <w:highlight w:val="none"/>
        </w:rPr>
        <w:t>（提供证明材料）</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 xml:space="preserve">14. </w:t>
      </w:r>
      <w:r>
        <w:rPr>
          <w:rFonts w:hint="eastAsia" w:asciiTheme="minorEastAsia" w:hAnsiTheme="minorEastAsia" w:cstheme="minorEastAsia"/>
          <w:szCs w:val="21"/>
          <w:highlight w:val="none"/>
        </w:rPr>
        <w:t>投标人应急服务响应时间≤2小时（以到达采购人办公地点时间计算）；</w:t>
      </w:r>
      <w:r>
        <w:rPr>
          <w:rFonts w:hint="eastAsia" w:ascii="宋体" w:hAnsi="宋体" w:eastAsia="宋体" w:cs="宋体"/>
          <w:highlight w:val="none"/>
        </w:rPr>
        <w:t>（提供承诺书或证明材料）</w:t>
      </w:r>
    </w:p>
    <w:p>
      <w:pPr>
        <w:pStyle w:val="2"/>
        <w:rPr>
          <w:snapToGrid w:val="0"/>
          <w:highlight w:val="none"/>
        </w:rPr>
      </w:pPr>
      <w:r>
        <w:rPr>
          <w:rFonts w:hint="eastAsia"/>
          <w:snapToGrid w:val="0"/>
          <w:highlight w:val="none"/>
        </w:rPr>
        <w:t>四、</w:t>
      </w:r>
      <w:r>
        <w:rPr>
          <w:snapToGrid w:val="0"/>
          <w:highlight w:val="none"/>
        </w:rPr>
        <w:t>技术服务要求</w:t>
      </w:r>
    </w:p>
    <w:p>
      <w:pPr>
        <w:numPr>
          <w:ilvl w:val="0"/>
          <w:numId w:val="6"/>
        </w:numPr>
        <w:spacing w:line="360" w:lineRule="auto"/>
        <w:ind w:left="0" w:firstLine="0"/>
        <w:rPr>
          <w:rFonts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技术要求</w:t>
      </w:r>
    </w:p>
    <w:p>
      <w:pPr>
        <w:numPr>
          <w:ilvl w:val="0"/>
          <w:numId w:val="7"/>
        </w:numPr>
        <w:spacing w:line="360" w:lineRule="auto"/>
        <w:ind w:left="5" w:hanging="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lang w:val="en-GB"/>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投标人实验室符合《中华人民共和国生物安全法》、《病原微生物实验室生物安全管理条例》（国务院令第424号）、《医疗机构临床基因扩增检验实验室管理办法》（卫办医政发〔2010〕194号）和《医疗机构新型冠状病毒核酸检测工作手册（试行 第二版）》有关规定，还应当符合《医学检验实验室基本标准（试行）》《医学检验实验室管理规范（试行）》等要求； </w:t>
      </w:r>
    </w:p>
    <w:p>
      <w:pPr>
        <w:numPr>
          <w:ilvl w:val="0"/>
          <w:numId w:val="7"/>
        </w:num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lang w:val="en-GB"/>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投标人保证按国家检测规范进行操作，并对标本的检测报告承担相应的责任； </w:t>
      </w:r>
    </w:p>
    <w:p>
      <w:pPr>
        <w:pStyle w:val="16"/>
        <w:widowControl/>
        <w:numPr>
          <w:ilvl w:val="0"/>
          <w:numId w:val="7"/>
        </w:numPr>
        <w:shd w:val="clear" w:color="auto" w:fill="FFFFFF"/>
        <w:spacing w:line="360" w:lineRule="auto"/>
        <w:ind w:left="5" w:hanging="5"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szCs w:val="21"/>
          <w:highlight w:val="none"/>
          <w:lang w:val="en-GB"/>
        </w:rPr>
        <w:t>★</w:t>
      </w:r>
      <w:r>
        <w:rPr>
          <w:rFonts w:hint="eastAsia" w:ascii="宋体" w:hAnsi="宋体" w:cs="宋体"/>
          <w:szCs w:val="21"/>
          <w:highlight w:val="none"/>
        </w:rPr>
        <w:t>投标人实验室有参加国家级或省级临床检验中心组织的新型冠状病毒核酸检测室间质评</w:t>
      </w:r>
      <w:r>
        <w:rPr>
          <w:rStyle w:val="11"/>
          <w:rFonts w:hint="eastAsia" w:asciiTheme="minorHAnsi" w:hAnsiTheme="minorHAnsi" w:eastAsiaTheme="minorEastAsia" w:cstheme="minorBidi"/>
          <w:highlight w:val="none"/>
        </w:rPr>
        <w:t>且获得成绩合格的室间质评证书</w:t>
      </w:r>
      <w:r>
        <w:rPr>
          <w:rFonts w:hint="eastAsia" w:ascii="宋体" w:hAnsi="宋体" w:cs="宋体"/>
          <w:highlight w:val="none"/>
        </w:rPr>
        <w:t>（提供证明材料）</w:t>
      </w:r>
      <w:r>
        <w:rPr>
          <w:rFonts w:hint="eastAsia" w:ascii="宋体" w:hAnsi="宋体" w:cs="宋体"/>
          <w:color w:val="000000" w:themeColor="text1"/>
          <w:szCs w:val="21"/>
          <w:highlight w:val="none"/>
          <w14:textFill>
            <w14:solidFill>
              <w14:schemeClr w14:val="tx1"/>
            </w14:solidFill>
          </w14:textFill>
        </w:rPr>
        <w:t>；</w:t>
      </w:r>
    </w:p>
    <w:p>
      <w:pPr>
        <w:pStyle w:val="16"/>
        <w:widowControl/>
        <w:numPr>
          <w:ilvl w:val="0"/>
          <w:numId w:val="7"/>
        </w:numPr>
        <w:shd w:val="clear" w:color="auto" w:fill="FFFFFF"/>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highlight w:val="none"/>
        </w:rPr>
        <w:t>严格按照相关规定进行标本运输和交接：</w:t>
      </w:r>
    </w:p>
    <w:p>
      <w:pPr>
        <w:pStyle w:val="16"/>
        <w:widowControl/>
        <w:numPr>
          <w:ilvl w:val="0"/>
          <w:numId w:val="8"/>
        </w:numPr>
        <w:shd w:val="clear" w:color="auto" w:fill="FFFFFF"/>
        <w:spacing w:line="360" w:lineRule="auto"/>
        <w:rPr>
          <w:highlight w:val="none"/>
        </w:rPr>
      </w:pPr>
      <w:r>
        <w:rPr>
          <w:rFonts w:hint="eastAsia"/>
          <w:highlight w:val="none"/>
        </w:rPr>
        <w:t>标本采集后室温放置不超过2小时，应在2小时内送到实验室。如果需要长途运输标本，应采用干冰等制冷方式进行保存，严格按照相关规定包装运输。</w:t>
      </w:r>
    </w:p>
    <w:p>
      <w:pPr>
        <w:pStyle w:val="16"/>
        <w:widowControl/>
        <w:numPr>
          <w:ilvl w:val="0"/>
          <w:numId w:val="8"/>
        </w:numPr>
        <w:shd w:val="clear" w:color="auto" w:fill="FFFFFF"/>
        <w:spacing w:line="360" w:lineRule="auto"/>
        <w:rPr>
          <w:highlight w:val="none"/>
        </w:rPr>
      </w:pPr>
      <w:r>
        <w:rPr>
          <w:rFonts w:hint="eastAsia"/>
          <w:highlight w:val="none"/>
        </w:rPr>
        <w:t>标本接收人员的个人防护按采样人员防护装备执行。标本运送人员和接收人员对标本进行双签收。</w:t>
      </w:r>
    </w:p>
    <w:p>
      <w:pPr>
        <w:pStyle w:val="16"/>
        <w:widowControl/>
        <w:numPr>
          <w:ilvl w:val="0"/>
          <w:numId w:val="8"/>
        </w:numPr>
        <w:shd w:val="clear" w:color="auto" w:fill="FFFFFF"/>
        <w:spacing w:line="360" w:lineRule="auto"/>
        <w:rPr>
          <w:highlight w:val="none"/>
        </w:rPr>
      </w:pPr>
      <w:r>
        <w:rPr>
          <w:rFonts w:hint="eastAsia"/>
          <w:highlight w:val="none"/>
        </w:rPr>
        <w:t>标本转运箱封闭前，须使用75%酒精或0.2%含氯消毒剂喷洒消毒。标本包装应符合国际民航组织文件Doc9284《危险品航空安全运输技术细则》的PI602分类包装要求。根据当前版本的国际航空运输协会（IATA）《危险品规则》， SARS-CoV-2感染疑似和确诊患者标本属于UN3373B类生物物质，涉及外部标本运输的，应按照B类感染性物质进行三层包装。</w:t>
      </w:r>
    </w:p>
    <w:p>
      <w:pPr>
        <w:pStyle w:val="12"/>
        <w:numPr>
          <w:ilvl w:val="0"/>
          <w:numId w:val="7"/>
        </w:numPr>
        <w:spacing w:line="360" w:lineRule="auto"/>
        <w:ind w:left="0" w:hanging="5"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highlight w:val="none"/>
        </w:rPr>
        <w:t>▲</w:t>
      </w:r>
      <w:r>
        <w:rPr>
          <w:rFonts w:hint="eastAsia" w:ascii="宋体" w:hAnsi="宋体" w:eastAsia="宋体" w:cs="宋体"/>
          <w:color w:val="000000" w:themeColor="text1"/>
          <w:szCs w:val="21"/>
          <w:highlight w:val="none"/>
          <w14:textFill>
            <w14:solidFill>
              <w14:schemeClr w14:val="tx1"/>
            </w14:solidFill>
          </w14:textFill>
        </w:rPr>
        <w:t>投标人实验室需</w:t>
      </w:r>
      <w:r>
        <w:rPr>
          <w:rFonts w:hint="eastAsia" w:asciiTheme="minorEastAsia" w:hAnsiTheme="minorEastAsia" w:cstheme="minorEastAsia"/>
          <w:szCs w:val="21"/>
          <w:highlight w:val="none"/>
        </w:rPr>
        <w:t>具备有新型冠状病毒核酸检测资质的专业检验技术人员</w:t>
      </w:r>
      <w:r>
        <w:rPr>
          <w:rFonts w:hint="eastAsia" w:ascii="宋体" w:hAnsi="宋体" w:eastAsia="宋体" w:cs="宋体"/>
          <w:color w:val="000000" w:themeColor="text1"/>
          <w:szCs w:val="21"/>
          <w:highlight w:val="none"/>
          <w14:textFill>
            <w14:solidFill>
              <w14:schemeClr w14:val="tx1"/>
            </w14:solidFill>
          </w14:textFill>
        </w:rPr>
        <w:t xml:space="preserve">，技术人员数量和资质符合国家相关要求，可提供专业的医学检验服务； </w:t>
      </w:r>
    </w:p>
    <w:p>
      <w:pPr>
        <w:numPr>
          <w:ilvl w:val="0"/>
          <w:numId w:val="7"/>
        </w:numPr>
        <w:autoSpaceDE w:val="0"/>
        <w:autoSpaceDN w:val="0"/>
        <w:adjustRightInd w:val="0"/>
        <w:spacing w:line="360" w:lineRule="auto"/>
        <w:jc w:val="left"/>
        <w:rPr>
          <w:rFonts w:ascii="宋体" w:hAnsi="宋体" w:eastAsia="宋体" w:cs="宋体"/>
          <w:szCs w:val="21"/>
          <w:highlight w:val="none"/>
        </w:rPr>
      </w:pPr>
      <w:r>
        <w:rPr>
          <w:rFonts w:hint="eastAsia" w:ascii="宋体" w:hAnsi="宋体" w:eastAsia="宋体" w:cs="宋体"/>
          <w:b/>
          <w:szCs w:val="21"/>
          <w:highlight w:val="none"/>
        </w:rPr>
        <w:t>被委托实验室的质量要求：</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highlight w:val="none"/>
        </w:rPr>
        <w:t>▲</w:t>
      </w:r>
      <w:r>
        <w:rPr>
          <w:rFonts w:hint="eastAsia" w:ascii="宋体" w:hAnsi="宋体" w:eastAsia="宋体" w:cs="宋体"/>
          <w:szCs w:val="21"/>
          <w:highlight w:val="none"/>
        </w:rPr>
        <w:t>质量要求：</w:t>
      </w:r>
    </w:p>
    <w:p>
      <w:pPr>
        <w:widowControl/>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①误验例数:每季度不高于1例；</w:t>
      </w:r>
    </w:p>
    <w:p>
      <w:pPr>
        <w:widowControl/>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②漏检例数:每季度少于1例；</w:t>
      </w:r>
    </w:p>
    <w:p>
      <w:pPr>
        <w:widowControl/>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③误报率:每年不高于2例；</w:t>
      </w:r>
    </w:p>
    <w:p>
      <w:pPr>
        <w:widowControl/>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④检测标本丢失、运送错误:每季度少于1例；</w:t>
      </w:r>
    </w:p>
    <w:p>
      <w:pPr>
        <w:widowControl/>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⑤危急值报告率和及时率达到100％。</w:t>
      </w:r>
    </w:p>
    <w:p>
      <w:pPr>
        <w:widowControl/>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采购人每季度对中标人的服务质量进行季度考核并根据考核结果要求</w:t>
      </w:r>
      <w:r>
        <w:rPr>
          <w:rFonts w:ascii="宋体" w:hAnsi="宋体" w:eastAsia="宋体" w:cs="宋体"/>
          <w:color w:val="000000"/>
          <w:szCs w:val="21"/>
          <w:highlight w:val="none"/>
        </w:rPr>
        <w:t>中标人按照</w:t>
      </w:r>
      <w:r>
        <w:rPr>
          <w:rFonts w:hint="eastAsia" w:ascii="宋体" w:hAnsi="宋体" w:eastAsia="宋体" w:cs="宋体"/>
          <w:color w:val="000000"/>
          <w:szCs w:val="21"/>
          <w:highlight w:val="none"/>
        </w:rPr>
        <w:t>合同</w:t>
      </w:r>
      <w:r>
        <w:rPr>
          <w:rFonts w:ascii="宋体" w:hAnsi="宋体" w:eastAsia="宋体" w:cs="宋体"/>
          <w:color w:val="000000"/>
          <w:szCs w:val="21"/>
          <w:highlight w:val="none"/>
        </w:rPr>
        <w:t>约定承担</w:t>
      </w:r>
      <w:r>
        <w:rPr>
          <w:rFonts w:hint="eastAsia" w:ascii="宋体" w:hAnsi="宋体" w:eastAsia="宋体" w:cs="宋体"/>
          <w:color w:val="000000"/>
          <w:szCs w:val="21"/>
          <w:highlight w:val="none"/>
        </w:rPr>
        <w:t>违约</w:t>
      </w:r>
      <w:r>
        <w:rPr>
          <w:rFonts w:ascii="宋体" w:hAnsi="宋体" w:eastAsia="宋体" w:cs="宋体"/>
          <w:color w:val="000000"/>
          <w:szCs w:val="21"/>
          <w:highlight w:val="none"/>
        </w:rPr>
        <w:t>责任</w:t>
      </w:r>
      <w:r>
        <w:rPr>
          <w:rFonts w:hint="eastAsia" w:ascii="宋体" w:hAnsi="宋体" w:eastAsia="宋体" w:cs="宋体"/>
          <w:color w:val="000000"/>
          <w:szCs w:val="21"/>
          <w:highlight w:val="none"/>
        </w:rPr>
        <w:t>，考核标准由采购人在签订合同时与中标人协商确定。</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2）</w:t>
      </w:r>
      <w:r>
        <w:rPr>
          <w:rFonts w:hint="eastAsia"/>
          <w:snapToGrid w:val="0"/>
          <w:color w:val="000000" w:themeColor="text1"/>
          <w:sz w:val="21"/>
          <w:szCs w:val="21"/>
          <w:highlight w:val="none"/>
          <w:lang w:val="en-GB"/>
          <w14:textFill>
            <w14:solidFill>
              <w14:schemeClr w14:val="tx1"/>
            </w14:solidFill>
          </w14:textFill>
        </w:rPr>
        <w:t>★</w:t>
      </w:r>
      <w:r>
        <w:rPr>
          <w:rFonts w:hint="eastAsia"/>
          <w:sz w:val="21"/>
          <w:szCs w:val="21"/>
          <w:highlight w:val="none"/>
        </w:rPr>
        <w:t>投标人对采购人送检的合格样本结果进行负责，对于按照投标人取材要求进行取材的合格样本，若因投标人原因导致检测结果存在质量问题，由投标人承担相关责任。</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3）</w:t>
      </w:r>
      <w:r>
        <w:rPr>
          <w:rFonts w:hint="eastAsia"/>
          <w:snapToGrid w:val="0"/>
          <w:color w:val="000000" w:themeColor="text1"/>
          <w:sz w:val="21"/>
          <w:szCs w:val="21"/>
          <w:highlight w:val="none"/>
          <w:lang w:val="en-GB"/>
          <w14:textFill>
            <w14:solidFill>
              <w14:schemeClr w14:val="tx1"/>
            </w14:solidFill>
          </w14:textFill>
        </w:rPr>
        <w:t>★</w:t>
      </w:r>
      <w:r>
        <w:rPr>
          <w:rFonts w:hint="eastAsia"/>
          <w:sz w:val="21"/>
          <w:szCs w:val="21"/>
          <w:highlight w:val="none"/>
        </w:rPr>
        <w:t>投标人均按日或检测批次对采购人委托项目进行室内质控，按季度提供室内质量控制报表，其内容包括质控检测数据、控制标准、质控分析、失控报告。</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4）</w:t>
      </w:r>
      <w:r>
        <w:rPr>
          <w:rFonts w:hint="eastAsia"/>
          <w:snapToGrid w:val="0"/>
          <w:color w:val="000000" w:themeColor="text1"/>
          <w:sz w:val="21"/>
          <w:szCs w:val="21"/>
          <w:highlight w:val="none"/>
          <w:lang w:val="en-GB"/>
          <w14:textFill>
            <w14:solidFill>
              <w14:schemeClr w14:val="tx1"/>
            </w14:solidFill>
          </w14:textFill>
        </w:rPr>
        <w:t>★</w:t>
      </w:r>
      <w:r>
        <w:rPr>
          <w:rFonts w:hint="eastAsia"/>
          <w:sz w:val="21"/>
          <w:szCs w:val="21"/>
          <w:highlight w:val="none"/>
        </w:rPr>
        <w:t>投标人</w:t>
      </w:r>
      <w:r>
        <w:rPr>
          <w:rStyle w:val="11"/>
          <w:rFonts w:hint="eastAsia" w:asciiTheme="minorHAnsi" w:hAnsiTheme="minorHAnsi" w:eastAsiaTheme="minorEastAsia" w:cstheme="minorBidi"/>
          <w:kern w:val="2"/>
          <w:highlight w:val="none"/>
        </w:rPr>
        <w:t>中标后</w:t>
      </w:r>
      <w:r>
        <w:rPr>
          <w:rFonts w:hint="eastAsia"/>
          <w:sz w:val="21"/>
          <w:szCs w:val="21"/>
          <w:highlight w:val="none"/>
        </w:rPr>
        <w:t>按要求参加新型冠状病毒核酸检测室间质评，每半年提供</w:t>
      </w:r>
      <w:r>
        <w:rPr>
          <w:rStyle w:val="11"/>
          <w:rFonts w:hint="eastAsia" w:asciiTheme="minorHAnsi" w:hAnsiTheme="minorHAnsi" w:eastAsiaTheme="minorEastAsia" w:cstheme="minorBidi"/>
          <w:highlight w:val="none"/>
        </w:rPr>
        <w:t>室间质评报告且成绩合格</w:t>
      </w:r>
      <w:r>
        <w:rPr>
          <w:rFonts w:hint="eastAsia"/>
          <w:sz w:val="21"/>
          <w:szCs w:val="21"/>
          <w:highlight w:val="none"/>
        </w:rPr>
        <w:t>。</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5）</w:t>
      </w:r>
      <w:r>
        <w:rPr>
          <w:rFonts w:hint="eastAsia"/>
          <w:highlight w:val="none"/>
        </w:rPr>
        <w:t>▲</w:t>
      </w:r>
      <w:r>
        <w:rPr>
          <w:rFonts w:hint="eastAsia"/>
          <w:sz w:val="21"/>
          <w:szCs w:val="21"/>
          <w:highlight w:val="none"/>
        </w:rPr>
        <w:t>按采购人要求，随时提供质量和技术资料，如更换试剂批号、仪器维修后、检验系统更换后的质控记录和性能验证报告等。</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6）</w:t>
      </w:r>
      <w:r>
        <w:rPr>
          <w:rFonts w:hint="eastAsia"/>
          <w:highlight w:val="none"/>
        </w:rPr>
        <w:t>▲</w:t>
      </w:r>
      <w:r>
        <w:rPr>
          <w:rFonts w:hint="eastAsia"/>
          <w:sz w:val="21"/>
          <w:szCs w:val="21"/>
          <w:highlight w:val="none"/>
        </w:rPr>
        <w:t>投标人随时接受并妥善安排采购人查阅项目检测、质量控制等情况。</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7）对于样本周转时间（TAT）的要求：</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①</w:t>
      </w:r>
      <w:r>
        <w:rPr>
          <w:rFonts w:hint="eastAsia"/>
          <w:snapToGrid w:val="0"/>
          <w:color w:val="000000" w:themeColor="text1"/>
          <w:sz w:val="21"/>
          <w:szCs w:val="21"/>
          <w:highlight w:val="none"/>
          <w:lang w:val="en-GB"/>
          <w14:textFill>
            <w14:solidFill>
              <w14:schemeClr w14:val="tx1"/>
            </w14:solidFill>
          </w14:textFill>
        </w:rPr>
        <w:t>★</w:t>
      </w:r>
      <w:r>
        <w:rPr>
          <w:rFonts w:hint="eastAsia"/>
          <w:sz w:val="21"/>
          <w:szCs w:val="21"/>
          <w:highlight w:val="none"/>
        </w:rPr>
        <w:t>有明确的样本送检和报告发布时间服务承诺。新型冠状病毒核酸检测发热门诊样本和急诊样本从采样开始计时，3小时内出具检验报告；非发热门诊样本和非急诊样本从采样开始计时，6小时内出具检验报告，所有检测结果按要求及时上传广东省新冠病毒检测信息系统（</w:t>
      </w:r>
      <w:r>
        <w:rPr>
          <w:rFonts w:hint="eastAsia"/>
          <w:b/>
          <w:bCs/>
          <w:sz w:val="21"/>
          <w:szCs w:val="21"/>
          <w:highlight w:val="none"/>
        </w:rPr>
        <w:t>提供承诺函及实现该要求的具体实施方案,如</w:t>
      </w:r>
      <w:r>
        <w:rPr>
          <w:b/>
          <w:bCs/>
          <w:sz w:val="21"/>
          <w:szCs w:val="21"/>
          <w:highlight w:val="none"/>
        </w:rPr>
        <w:t>未按要求提供承诺函及</w:t>
      </w:r>
      <w:r>
        <w:rPr>
          <w:rFonts w:hint="eastAsia"/>
          <w:b/>
          <w:bCs/>
          <w:sz w:val="21"/>
          <w:szCs w:val="21"/>
          <w:highlight w:val="none"/>
        </w:rPr>
        <w:t>具体</w:t>
      </w:r>
      <w:r>
        <w:rPr>
          <w:b/>
          <w:bCs/>
          <w:sz w:val="21"/>
          <w:szCs w:val="21"/>
          <w:highlight w:val="none"/>
        </w:rPr>
        <w:t>实施方案</w:t>
      </w:r>
      <w:r>
        <w:rPr>
          <w:rFonts w:hint="eastAsia"/>
          <w:b/>
          <w:bCs/>
          <w:sz w:val="21"/>
          <w:szCs w:val="21"/>
          <w:highlight w:val="none"/>
        </w:rPr>
        <w:t>视为无效投标</w:t>
      </w:r>
      <w:r>
        <w:rPr>
          <w:rFonts w:hint="eastAsia"/>
          <w:sz w:val="21"/>
          <w:szCs w:val="21"/>
          <w:highlight w:val="none"/>
        </w:rPr>
        <w:t>）。</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②样本周转时间起点为样本采样时间，终点为投标人实验室出具检验报告并将检测结果上传至广东省新冠病毒检测信息系统。</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③</w:t>
      </w:r>
      <w:r>
        <w:rPr>
          <w:rFonts w:hint="eastAsia"/>
          <w:highlight w:val="none"/>
        </w:rPr>
        <w:t>▲</w:t>
      </w:r>
      <w:r>
        <w:rPr>
          <w:rFonts w:hint="eastAsia"/>
          <w:sz w:val="21"/>
          <w:szCs w:val="21"/>
          <w:highlight w:val="none"/>
        </w:rPr>
        <w:t>发热门诊报告及时率100%，非发热门诊报告延误率≤1/1000。</w:t>
      </w:r>
    </w:p>
    <w:p>
      <w:pPr>
        <w:autoSpaceDE w:val="0"/>
        <w:autoSpaceDN w:val="0"/>
        <w:adjustRightInd w:val="0"/>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④每季度提供委托项目的样本周转时间（TAT）分析，对于用户提出的要求及时反馈并更正。</w:t>
      </w:r>
    </w:p>
    <w:p>
      <w:pPr>
        <w:autoSpaceDE w:val="0"/>
        <w:autoSpaceDN w:val="0"/>
        <w:adjustRightInd w:val="0"/>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⑤如投标人检测报告超出约定时间而又未出具书面通知采购人造成恶劣影响的，包括造成医疗纠纷、有群众投诉造成严重后果等情况，投标人应承担相应的经济和法律责任。</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8）对于报告形式及报告单的要求：</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①</w:t>
      </w:r>
      <w:r>
        <w:rPr>
          <w:rFonts w:hint="eastAsia"/>
          <w:highlight w:val="none"/>
        </w:rPr>
        <w:t>▲</w:t>
      </w:r>
      <w:r>
        <w:rPr>
          <w:rFonts w:hint="eastAsia"/>
          <w:sz w:val="21"/>
          <w:szCs w:val="21"/>
          <w:highlight w:val="none"/>
        </w:rPr>
        <w:t>提供多种报告查询方式，包括网络、电话查询，不限于纸质图文报告，且务必遵循资料保密原则，未经许可，不得允许非相关人员查询或复印；</w:t>
      </w:r>
    </w:p>
    <w:p>
      <w:pPr>
        <w:pStyle w:val="7"/>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②提供中英文对照报告服务；</w:t>
      </w:r>
    </w:p>
    <w:p>
      <w:pPr>
        <w:pStyle w:val="7"/>
        <w:spacing w:before="0" w:beforeAutospacing="0" w:after="0" w:afterAutospacing="0" w:line="360" w:lineRule="auto"/>
        <w:ind w:firstLine="420" w:firstLineChars="200"/>
        <w:jc w:val="both"/>
        <w:rPr>
          <w:szCs w:val="21"/>
          <w:highlight w:val="none"/>
        </w:rPr>
      </w:pPr>
      <w:r>
        <w:rPr>
          <w:rFonts w:hint="eastAsia"/>
          <w:sz w:val="21"/>
          <w:szCs w:val="21"/>
          <w:highlight w:val="none"/>
        </w:rPr>
        <w:t>③报告单格式符合《医疗机构新型冠状病毒核酸检测工作手册（最新版）》要求，明确检测方法和检测下限。</w:t>
      </w:r>
    </w:p>
    <w:p>
      <w:pPr>
        <w:autoSpaceDE w:val="0"/>
        <w:autoSpaceDN w:val="0"/>
        <w:adjustRightInd w:val="0"/>
        <w:spacing w:line="360" w:lineRule="auto"/>
        <w:jc w:val="left"/>
        <w:rPr>
          <w:rFonts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szCs w:val="21"/>
          <w:highlight w:val="none"/>
        </w:rPr>
        <w:t>2.</w:t>
      </w:r>
      <w:r>
        <w:rPr>
          <w:rFonts w:hint="eastAsia" w:ascii="宋体" w:hAnsi="宋体" w:eastAsia="宋体" w:cs="宋体"/>
          <w:b/>
          <w:snapToGrid w:val="0"/>
          <w:color w:val="000000" w:themeColor="text1"/>
          <w:szCs w:val="21"/>
          <w:highlight w:val="none"/>
          <w14:textFill>
            <w14:solidFill>
              <w14:schemeClr w14:val="tx1"/>
            </w14:solidFill>
          </w14:textFill>
        </w:rPr>
        <w:t>服务要求</w:t>
      </w:r>
    </w:p>
    <w:p>
      <w:pPr>
        <w:numPr>
          <w:ilvl w:val="0"/>
          <w:numId w:val="9"/>
        </w:numPr>
        <w:spacing w:line="360" w:lineRule="auto"/>
        <w:ind w:left="5" w:hanging="5"/>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highlight w:val="none"/>
        </w:rPr>
        <w:t>▲</w:t>
      </w:r>
      <w:r>
        <w:rPr>
          <w:rFonts w:hint="eastAsia" w:ascii="宋体" w:hAnsi="宋体" w:eastAsia="宋体" w:cs="宋体"/>
          <w:snapToGrid w:val="0"/>
          <w:color w:val="000000" w:themeColor="text1"/>
          <w:szCs w:val="21"/>
          <w:highlight w:val="none"/>
          <w14:textFill>
            <w14:solidFill>
              <w14:schemeClr w14:val="tx1"/>
            </w14:solidFill>
          </w14:textFill>
        </w:rPr>
        <w:t>投标人需安排专人每天定时前往医院收取标本，每小时收取1次标本。遇特殊标本可机动收取。</w:t>
      </w:r>
    </w:p>
    <w:p>
      <w:pPr>
        <w:numPr>
          <w:ilvl w:val="0"/>
          <w:numId w:val="9"/>
        </w:numPr>
        <w:spacing w:line="360" w:lineRule="auto"/>
        <w:rPr>
          <w:rFonts w:ascii="宋体" w:hAnsi="宋体" w:eastAsia="宋体" w:cs="宋体"/>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lang w:val="en-GB"/>
          <w14:textFill>
            <w14:solidFill>
              <w14:schemeClr w14:val="tx1"/>
            </w14:solidFill>
          </w14:textFill>
        </w:rPr>
        <w:t>★</w:t>
      </w:r>
      <w:r>
        <w:rPr>
          <w:rFonts w:hint="eastAsia" w:ascii="宋体" w:hAnsi="宋体" w:eastAsia="宋体" w:cs="宋体"/>
          <w:snapToGrid w:val="0"/>
          <w:color w:val="000000" w:themeColor="text1"/>
          <w:szCs w:val="21"/>
          <w:highlight w:val="none"/>
          <w14:textFill>
            <w14:solidFill>
              <w14:schemeClr w14:val="tx1"/>
            </w14:solidFill>
          </w14:textFill>
        </w:rPr>
        <w:t>中标人需提供服务项目所需要的相关耗材、知情同意书、专用申请单等。</w:t>
      </w:r>
    </w:p>
    <w:p>
      <w:pPr>
        <w:numPr>
          <w:ilvl w:val="0"/>
          <w:numId w:val="9"/>
        </w:numPr>
        <w:spacing w:line="360" w:lineRule="auto"/>
        <w:ind w:left="5" w:hanging="5"/>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highlight w:val="none"/>
        </w:rPr>
        <w:t>▲</w:t>
      </w:r>
      <w:r>
        <w:rPr>
          <w:rFonts w:hint="eastAsia" w:ascii="宋体" w:hAnsi="宋体" w:eastAsia="宋体" w:cs="宋体"/>
          <w:snapToGrid w:val="0"/>
          <w:color w:val="000000" w:themeColor="text1"/>
          <w:szCs w:val="21"/>
          <w:highlight w:val="none"/>
          <w14:textFill>
            <w14:solidFill>
              <w14:schemeClr w14:val="tx1"/>
            </w14:solidFill>
          </w14:textFill>
        </w:rPr>
        <w:t>投标人配备完善医疗物流系统，保证标本接收、送检运输过程的安全与规范，保证标本的检测前质量。标本</w:t>
      </w:r>
      <w:r>
        <w:rPr>
          <w:rFonts w:hint="eastAsia" w:ascii="宋体" w:hAnsi="宋体" w:eastAsia="宋体" w:cs="宋体"/>
          <w:color w:val="000000" w:themeColor="text1"/>
          <w:szCs w:val="21"/>
          <w:highlight w:val="none"/>
          <w14:textFill>
            <w14:solidFill>
              <w14:schemeClr w14:val="tx1"/>
            </w14:solidFill>
          </w14:textFill>
        </w:rPr>
        <w:t>运输须要求直立、冷藏、封闭，符合生物安全要求，确保运输过程的样品质量和环境安全。对于需低温冷冻或有特殊要求的样本视具体项目与采购人商定。</w:t>
      </w:r>
    </w:p>
    <w:p>
      <w:pPr>
        <w:numPr>
          <w:ilvl w:val="0"/>
          <w:numId w:val="9"/>
        </w:numPr>
        <w:spacing w:line="360" w:lineRule="auto"/>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投标人具备CNAS货物运输条件鉴定书（提供</w:t>
      </w:r>
      <w:r>
        <w:rPr>
          <w:rFonts w:ascii="宋体" w:hAnsi="宋体" w:eastAsia="宋体" w:cs="宋体"/>
          <w:color w:val="000000" w:themeColor="text1"/>
          <w:szCs w:val="21"/>
          <w:highlight w:val="none"/>
          <w14:textFill>
            <w14:solidFill>
              <w14:schemeClr w14:val="tx1"/>
            </w14:solidFill>
          </w14:textFill>
        </w:rPr>
        <w:t>相关证明材料</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9"/>
        </w:numPr>
        <w:spacing w:line="360" w:lineRule="auto"/>
        <w:ind w:left="5" w:hanging="5"/>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lang w:val="en-GB"/>
          <w14:textFill>
            <w14:solidFill>
              <w14:schemeClr w14:val="tx1"/>
            </w14:solidFill>
          </w14:textFill>
        </w:rPr>
        <w:t>★</w:t>
      </w:r>
      <w:r>
        <w:rPr>
          <w:rFonts w:hint="eastAsia" w:ascii="宋体" w:hAnsi="宋体" w:eastAsia="宋体" w:cs="宋体"/>
          <w:snapToGrid w:val="0"/>
          <w:color w:val="000000" w:themeColor="text1"/>
          <w:szCs w:val="21"/>
          <w:highlight w:val="none"/>
          <w14:textFill>
            <w14:solidFill>
              <w14:schemeClr w14:val="tx1"/>
            </w14:solidFill>
          </w14:textFill>
        </w:rPr>
        <w:t>投标人配备完善的信息系统，可</w:t>
      </w:r>
      <w:r>
        <w:rPr>
          <w:rFonts w:hint="eastAsia" w:ascii="宋体" w:hAnsi="宋体" w:eastAsia="宋体" w:cs="宋体"/>
          <w:color w:val="000000" w:themeColor="text1"/>
          <w:szCs w:val="21"/>
          <w:highlight w:val="none"/>
          <w14:textFill>
            <w14:solidFill>
              <w14:schemeClr w14:val="tx1"/>
            </w14:solidFill>
          </w14:textFill>
        </w:rPr>
        <w:t>与医院信息系统对接，使医务人员可以随时调阅，</w:t>
      </w:r>
      <w:r>
        <w:rPr>
          <w:rFonts w:hint="eastAsia" w:ascii="宋体" w:hAnsi="宋体" w:eastAsia="宋体" w:cs="宋体"/>
          <w:snapToGrid w:val="0"/>
          <w:color w:val="000000" w:themeColor="text1"/>
          <w:szCs w:val="21"/>
          <w:highlight w:val="none"/>
          <w14:textFill>
            <w14:solidFill>
              <w14:schemeClr w14:val="tx1"/>
            </w14:solidFill>
          </w14:textFill>
        </w:rPr>
        <w:t>可实现检验项目的多终端查询，包括网页端、手机端等，对紧急报告可提供口头报告或邮件报告等形式。</w:t>
      </w:r>
    </w:p>
    <w:p>
      <w:pPr>
        <w:numPr>
          <w:ilvl w:val="0"/>
          <w:numId w:val="9"/>
        </w:num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lang w:val="en-GB"/>
          <w14:textFill>
            <w14:solidFill>
              <w14:schemeClr w14:val="tx1"/>
            </w14:solidFill>
          </w14:textFill>
        </w:rPr>
        <w:t>★</w:t>
      </w:r>
      <w:r>
        <w:rPr>
          <w:rFonts w:hint="eastAsia" w:ascii="宋体" w:hAnsi="宋体" w:eastAsia="宋体" w:cs="宋体"/>
          <w:snapToGrid w:val="0"/>
          <w:color w:val="000000" w:themeColor="text1"/>
          <w:szCs w:val="21"/>
          <w:highlight w:val="none"/>
          <w14:textFill>
            <w14:solidFill>
              <w14:schemeClr w14:val="tx1"/>
            </w14:solidFill>
          </w14:textFill>
        </w:rPr>
        <w:t>未经采购人同意，不得将采购人标本用于他用。</w:t>
      </w:r>
    </w:p>
    <w:p>
      <w:pPr>
        <w:numPr>
          <w:ilvl w:val="0"/>
          <w:numId w:val="9"/>
        </w:numPr>
        <w:spacing w:line="360" w:lineRule="auto"/>
        <w:ind w:left="5" w:hanging="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lang w:val="en-GB"/>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有为用户保密的义务，未经同意不得向第三方泄露委托检验的项目、检验的内容、检验的结果。</w:t>
      </w:r>
    </w:p>
    <w:p>
      <w:pPr>
        <w:numPr>
          <w:ilvl w:val="0"/>
          <w:numId w:val="9"/>
        </w:numPr>
        <w:spacing w:line="360" w:lineRule="auto"/>
        <w:ind w:left="5" w:hanging="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lang w:val="en-GB"/>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检测样本、检测数据的所有权、使用权为用户所有，未经许可不得挪作它用。能够按照国家、按用户要求妥善保存及销毁检验后样本。</w:t>
      </w:r>
    </w:p>
    <w:p>
      <w:pPr>
        <w:numPr>
          <w:ilvl w:val="0"/>
          <w:numId w:val="9"/>
        </w:numPr>
        <w:spacing w:line="360" w:lineRule="auto"/>
        <w:ind w:left="5" w:hanging="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lang w:val="en-GB"/>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投标人必须保证检验结果的公正性，不受任何诱使或压力的对检验结果进行修正及更改。</w:t>
      </w:r>
    </w:p>
    <w:p>
      <w:pPr>
        <w:numPr>
          <w:ilvl w:val="0"/>
          <w:numId w:val="9"/>
        </w:numPr>
        <w:spacing w:line="360" w:lineRule="auto"/>
        <w:ind w:left="0" w:hanging="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highlight w:val="none"/>
        </w:rPr>
        <w:t>▲</w:t>
      </w:r>
      <w:r>
        <w:rPr>
          <w:rFonts w:hint="eastAsia" w:ascii="宋体" w:hAnsi="宋体" w:eastAsia="宋体" w:cs="宋体"/>
          <w:color w:val="000000" w:themeColor="text1"/>
          <w:szCs w:val="21"/>
          <w:highlight w:val="none"/>
          <w14:textFill>
            <w14:solidFill>
              <w14:schemeClr w14:val="tx1"/>
            </w14:solidFill>
          </w14:textFill>
        </w:rPr>
        <w:t>投标人建立快速的客户服务反应机制，如有针对投标人或采购人与投标人双方的投诉或需处理的情况，投标人应派代表在半日内到达医院及时沟通处理；若主要针对采购人的投诉或需处理的情况，投标人有义务协助采购人及时沟通处理。</w:t>
      </w:r>
    </w:p>
    <w:p>
      <w:pPr>
        <w:autoSpaceDE w:val="0"/>
        <w:autoSpaceDN w:val="0"/>
        <w:adjustRightInd w:val="0"/>
        <w:spacing w:line="360" w:lineRule="auto"/>
        <w:jc w:val="left"/>
        <w:rPr>
          <w:rFonts w:ascii="宋体" w:hAnsi="宋体" w:eastAsia="宋体" w:cs="宋体"/>
          <w:b/>
          <w:snapToGrid w:val="0"/>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3.考核标准</w:t>
      </w:r>
    </w:p>
    <w:p>
      <w:pPr>
        <w:autoSpaceDE w:val="0"/>
        <w:autoSpaceDN w:val="0"/>
        <w:adjustRightInd w:val="0"/>
        <w:spacing w:line="360" w:lineRule="auto"/>
        <w:jc w:val="left"/>
        <w:rPr>
          <w:rFonts w:asciiTheme="minorEastAsia" w:hAnsiTheme="minorEastAsia" w:cstheme="minorEastAsia"/>
          <w:szCs w:val="21"/>
          <w:highlight w:val="none"/>
        </w:rPr>
      </w:pPr>
      <w:r>
        <w:rPr>
          <w:rFonts w:hint="eastAsia" w:ascii="宋体" w:hAnsi="宋体" w:eastAsia="宋体" w:cs="宋体"/>
          <w:bCs/>
          <w:snapToGrid w:val="0"/>
          <w:color w:val="000000" w:themeColor="text1"/>
          <w:szCs w:val="21"/>
          <w:highlight w:val="none"/>
          <w14:textFill>
            <w14:solidFill>
              <w14:schemeClr w14:val="tx1"/>
            </w14:solidFill>
          </w14:textFill>
        </w:rPr>
        <w:t>(1) 服务期内服务项目</w:t>
      </w:r>
      <w:r>
        <w:rPr>
          <w:rFonts w:hint="eastAsia" w:asciiTheme="minorEastAsia" w:hAnsiTheme="minorEastAsia" w:cstheme="minorEastAsia"/>
          <w:szCs w:val="21"/>
          <w:highlight w:val="none"/>
        </w:rPr>
        <w:t>参加国家级或省级临床检验中心组织的室间质评并成绩合格，每半年提供室间质评报告。</w:t>
      </w:r>
    </w:p>
    <w:p>
      <w:pPr>
        <w:autoSpaceDE w:val="0"/>
        <w:autoSpaceDN w:val="0"/>
        <w:adjustRightIn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 服务期内服务项目按相关要求规范开展室内质控，每</w:t>
      </w:r>
      <w:r>
        <w:rPr>
          <w:rFonts w:hint="eastAsia" w:ascii="宋体" w:hAnsi="宋体" w:eastAsia="宋体" w:cs="宋体"/>
          <w:szCs w:val="21"/>
          <w:highlight w:val="none"/>
        </w:rPr>
        <w:t>季度提供室内质量控制报表，质控结果满意</w:t>
      </w:r>
      <w:r>
        <w:rPr>
          <w:rFonts w:hint="eastAsia" w:asciiTheme="minorEastAsia" w:hAnsiTheme="minorEastAsia" w:cstheme="minorEastAsia"/>
          <w:szCs w:val="21"/>
          <w:highlight w:val="none"/>
        </w:rPr>
        <w:t>。</w:t>
      </w:r>
    </w:p>
    <w:p>
      <w:pPr>
        <w:spacing w:line="360" w:lineRule="auto"/>
        <w:rPr>
          <w:rFonts w:ascii="宋体" w:hAnsi="宋体" w:eastAsia="宋体" w:cs="宋体"/>
          <w:szCs w:val="21"/>
          <w:highlight w:val="none"/>
        </w:rPr>
      </w:pPr>
      <w:r>
        <w:rPr>
          <w:rFonts w:hint="eastAsia" w:asciiTheme="minorEastAsia" w:hAnsiTheme="minorEastAsia" w:cstheme="minorEastAsia"/>
          <w:szCs w:val="21"/>
          <w:highlight w:val="none"/>
        </w:rPr>
        <w:t>(3) 服务期内可随时提供质量和技术资料，</w:t>
      </w:r>
      <w:r>
        <w:rPr>
          <w:rFonts w:hint="eastAsia" w:ascii="宋体" w:hAnsi="宋体" w:eastAsia="宋体" w:cs="宋体"/>
          <w:szCs w:val="21"/>
          <w:highlight w:val="none"/>
        </w:rPr>
        <w:t>如更换试剂批号、仪器维修后、检验系统更换后的质控记录和性能验证报告等。</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(4) 服务期内满足约定的质量要求和服务要求。</w:t>
      </w:r>
    </w:p>
    <w:p>
      <w:pPr>
        <w:spacing w:line="360" w:lineRule="auto"/>
        <w:rPr>
          <w:rFonts w:ascii="宋体" w:hAnsi="宋体" w:eastAsia="宋体" w:cs="宋体"/>
          <w:szCs w:val="21"/>
          <w:highlight w:val="none"/>
        </w:rPr>
      </w:pPr>
      <w:r>
        <w:rPr>
          <w:rFonts w:hint="eastAsia" w:asciiTheme="minorEastAsia" w:hAnsiTheme="minorEastAsia" w:cstheme="minorEastAsia"/>
          <w:szCs w:val="21"/>
          <w:highlight w:val="none"/>
        </w:rPr>
        <w:t>(5) 服务期内</w:t>
      </w:r>
      <w:r>
        <w:rPr>
          <w:rFonts w:hint="eastAsia" w:ascii="宋体" w:hAnsi="宋体" w:eastAsia="宋体" w:cs="宋体"/>
          <w:szCs w:val="21"/>
          <w:highlight w:val="none"/>
        </w:rPr>
        <w:t>样本周转时间（TAT）符合要求。</w:t>
      </w:r>
    </w:p>
    <w:p>
      <w:pPr>
        <w:spacing w:line="360" w:lineRule="auto"/>
        <w:rPr>
          <w:rFonts w:ascii="宋体" w:hAnsi="宋体" w:eastAsia="宋体" w:cs="宋体"/>
          <w:szCs w:val="21"/>
          <w:highlight w:val="none"/>
        </w:rPr>
      </w:pPr>
      <w:r>
        <w:rPr>
          <w:rFonts w:hint="eastAsia" w:ascii="宋体" w:hAnsi="宋体" w:eastAsia="宋体" w:cs="宋体"/>
          <w:szCs w:val="21"/>
          <w:highlight w:val="none"/>
        </w:rPr>
        <w:t>(6) 服务期内采购人每季度对投标人就约定的质量要求和服务要求进行考核，</w:t>
      </w:r>
      <w:r>
        <w:rPr>
          <w:rFonts w:hint="eastAsia" w:ascii="宋体" w:hAnsi="宋体" w:eastAsia="宋体" w:cs="宋体"/>
          <w:color w:val="000000"/>
          <w:szCs w:val="21"/>
          <w:highlight w:val="none"/>
        </w:rPr>
        <w:t>具体考核标准由采购人在签订合同时与中标人协商确定。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FA24B"/>
    <w:multiLevelType w:val="singleLevel"/>
    <w:tmpl w:val="8A8FA24B"/>
    <w:lvl w:ilvl="0" w:tentative="0">
      <w:start w:val="1"/>
      <w:numFmt w:val="decimal"/>
      <w:suff w:val="nothing"/>
      <w:lvlText w:val="（%1）"/>
      <w:lvlJc w:val="left"/>
    </w:lvl>
  </w:abstractNum>
  <w:abstractNum w:abstractNumId="1">
    <w:nsid w:val="D265A169"/>
    <w:multiLevelType w:val="singleLevel"/>
    <w:tmpl w:val="D265A169"/>
    <w:lvl w:ilvl="0" w:tentative="0">
      <w:start w:val="1"/>
      <w:numFmt w:val="bullet"/>
      <w:lvlText w:val=""/>
      <w:lvlJc w:val="left"/>
      <w:pPr>
        <w:ind w:left="420" w:hanging="420"/>
      </w:pPr>
      <w:rPr>
        <w:rFonts w:hint="default" w:ascii="Wingdings" w:hAnsi="Wingdings"/>
      </w:rPr>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DD70B82D"/>
    <w:multiLevelType w:val="singleLevel"/>
    <w:tmpl w:val="DD70B82D"/>
    <w:lvl w:ilvl="0" w:tentative="0">
      <w:start w:val="1"/>
      <w:numFmt w:val="decimal"/>
      <w:suff w:val="nothing"/>
      <w:lvlText w:val="%1）"/>
      <w:lvlJc w:val="left"/>
    </w:lvl>
  </w:abstractNum>
  <w:abstractNum w:abstractNumId="4">
    <w:nsid w:val="07DBBCF4"/>
    <w:multiLevelType w:val="singleLevel"/>
    <w:tmpl w:val="07DBBCF4"/>
    <w:lvl w:ilvl="0" w:tentative="0">
      <w:start w:val="1"/>
      <w:numFmt w:val="decimal"/>
      <w:lvlText w:val="(%1)"/>
      <w:lvlJc w:val="left"/>
      <w:pPr>
        <w:ind w:left="425" w:hanging="425"/>
      </w:pPr>
      <w:rPr>
        <w:rFonts w:hint="default"/>
      </w:rPr>
    </w:lvl>
  </w:abstractNum>
  <w:abstractNum w:abstractNumId="5">
    <w:nsid w:val="1132576E"/>
    <w:multiLevelType w:val="singleLevel"/>
    <w:tmpl w:val="1132576E"/>
    <w:lvl w:ilvl="0" w:tentative="0">
      <w:start w:val="1"/>
      <w:numFmt w:val="decimal"/>
      <w:lvlText w:val="%1."/>
      <w:lvlJc w:val="left"/>
      <w:pPr>
        <w:ind w:left="425" w:hanging="425"/>
      </w:pPr>
      <w:rPr>
        <w:rFonts w:hint="default"/>
      </w:rPr>
    </w:lvl>
  </w:abstractNum>
  <w:abstractNum w:abstractNumId="6">
    <w:nsid w:val="1E7E8738"/>
    <w:multiLevelType w:val="singleLevel"/>
    <w:tmpl w:val="1E7E8738"/>
    <w:lvl w:ilvl="0" w:tentative="0">
      <w:start w:val="1"/>
      <w:numFmt w:val="chineseCounting"/>
      <w:suff w:val="nothing"/>
      <w:lvlText w:val="%1、"/>
      <w:lvlJc w:val="left"/>
      <w:rPr>
        <w:rFonts w:hint="eastAsia"/>
      </w:rPr>
    </w:lvl>
  </w:abstractNum>
  <w:abstractNum w:abstractNumId="7">
    <w:nsid w:val="268CC618"/>
    <w:multiLevelType w:val="singleLevel"/>
    <w:tmpl w:val="268CC618"/>
    <w:lvl w:ilvl="0" w:tentative="0">
      <w:start w:val="1"/>
      <w:numFmt w:val="decimal"/>
      <w:lvlText w:val="%1."/>
      <w:lvlJc w:val="left"/>
      <w:pPr>
        <w:ind w:left="425" w:hanging="425"/>
      </w:pPr>
      <w:rPr>
        <w:rFonts w:hint="default"/>
      </w:rPr>
    </w:lvl>
  </w:abstractNum>
  <w:abstractNum w:abstractNumId="8">
    <w:nsid w:val="77F612DA"/>
    <w:multiLevelType w:val="singleLevel"/>
    <w:tmpl w:val="77F612DA"/>
    <w:lvl w:ilvl="0" w:tentative="0">
      <w:start w:val="1"/>
      <w:numFmt w:val="decimal"/>
      <w:lvlText w:val="(%1)"/>
      <w:lvlJc w:val="left"/>
      <w:pPr>
        <w:ind w:left="425" w:hanging="425"/>
      </w:pPr>
      <w:rPr>
        <w:rFonts w:hint="default"/>
      </w:rPr>
    </w:lvl>
  </w:abstractNum>
  <w:num w:numId="1">
    <w:abstractNumId w:val="2"/>
  </w:num>
  <w:num w:numId="2">
    <w:abstractNumId w:val="6"/>
  </w:num>
  <w:num w:numId="3">
    <w:abstractNumId w:val="5"/>
  </w:num>
  <w:num w:numId="4">
    <w:abstractNumId w:val="0"/>
  </w:num>
  <w:num w:numId="5">
    <w:abstractNumId w:val="1"/>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101055"/>
    <w:rsid w:val="00172098"/>
    <w:rsid w:val="001F3DF0"/>
    <w:rsid w:val="0021765C"/>
    <w:rsid w:val="00293342"/>
    <w:rsid w:val="002D465D"/>
    <w:rsid w:val="002E1EB5"/>
    <w:rsid w:val="0035345C"/>
    <w:rsid w:val="003A3903"/>
    <w:rsid w:val="003F4B3D"/>
    <w:rsid w:val="00527C0D"/>
    <w:rsid w:val="00544162"/>
    <w:rsid w:val="005459E1"/>
    <w:rsid w:val="0063702E"/>
    <w:rsid w:val="00697BB0"/>
    <w:rsid w:val="00857CF3"/>
    <w:rsid w:val="00914200"/>
    <w:rsid w:val="00932F4E"/>
    <w:rsid w:val="009347C6"/>
    <w:rsid w:val="00987B50"/>
    <w:rsid w:val="009E2D17"/>
    <w:rsid w:val="00A25AA4"/>
    <w:rsid w:val="00B063B7"/>
    <w:rsid w:val="00BA73BA"/>
    <w:rsid w:val="00C404BE"/>
    <w:rsid w:val="00C64DF1"/>
    <w:rsid w:val="00D03E7C"/>
    <w:rsid w:val="00DF2464"/>
    <w:rsid w:val="00ED1DC3"/>
    <w:rsid w:val="00F77392"/>
    <w:rsid w:val="01C15ED7"/>
    <w:rsid w:val="01E933D0"/>
    <w:rsid w:val="05AE53ED"/>
    <w:rsid w:val="07620875"/>
    <w:rsid w:val="0B462714"/>
    <w:rsid w:val="0C583667"/>
    <w:rsid w:val="0D55237A"/>
    <w:rsid w:val="0EDA5F4A"/>
    <w:rsid w:val="11215D00"/>
    <w:rsid w:val="116F5E3C"/>
    <w:rsid w:val="11BE7D21"/>
    <w:rsid w:val="125151D8"/>
    <w:rsid w:val="137C3E61"/>
    <w:rsid w:val="152E75A3"/>
    <w:rsid w:val="15DD12EB"/>
    <w:rsid w:val="15FB5391"/>
    <w:rsid w:val="16667C55"/>
    <w:rsid w:val="18197B20"/>
    <w:rsid w:val="182F3FFC"/>
    <w:rsid w:val="184F47E9"/>
    <w:rsid w:val="195B4CD4"/>
    <w:rsid w:val="19F434AB"/>
    <w:rsid w:val="1A4E463B"/>
    <w:rsid w:val="1AC04D91"/>
    <w:rsid w:val="1B9B3432"/>
    <w:rsid w:val="1C5D648C"/>
    <w:rsid w:val="1E5A17C5"/>
    <w:rsid w:val="20372DFC"/>
    <w:rsid w:val="206831B1"/>
    <w:rsid w:val="225025E2"/>
    <w:rsid w:val="23683A18"/>
    <w:rsid w:val="23E7584F"/>
    <w:rsid w:val="268A1BB3"/>
    <w:rsid w:val="2A885D27"/>
    <w:rsid w:val="2AA33888"/>
    <w:rsid w:val="2BCD34F4"/>
    <w:rsid w:val="2D5D7614"/>
    <w:rsid w:val="2E712EDD"/>
    <w:rsid w:val="2EBD544A"/>
    <w:rsid w:val="2F4263DE"/>
    <w:rsid w:val="2F980E41"/>
    <w:rsid w:val="2FB36F7C"/>
    <w:rsid w:val="32A966F2"/>
    <w:rsid w:val="34326E09"/>
    <w:rsid w:val="344E7EEC"/>
    <w:rsid w:val="34AF794B"/>
    <w:rsid w:val="35DF56B3"/>
    <w:rsid w:val="36891F17"/>
    <w:rsid w:val="397337AD"/>
    <w:rsid w:val="39AD7AFB"/>
    <w:rsid w:val="3B150E18"/>
    <w:rsid w:val="3B856185"/>
    <w:rsid w:val="3C5A7ECD"/>
    <w:rsid w:val="3C8138D7"/>
    <w:rsid w:val="3C963008"/>
    <w:rsid w:val="3CF8165C"/>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9480742"/>
    <w:rsid w:val="5CEB018E"/>
    <w:rsid w:val="5D4446FE"/>
    <w:rsid w:val="5EC71180"/>
    <w:rsid w:val="5F580C6B"/>
    <w:rsid w:val="5FA44E0F"/>
    <w:rsid w:val="5FE15E62"/>
    <w:rsid w:val="60182200"/>
    <w:rsid w:val="60872EF7"/>
    <w:rsid w:val="61F160E0"/>
    <w:rsid w:val="63895A12"/>
    <w:rsid w:val="644C371A"/>
    <w:rsid w:val="66AF192B"/>
    <w:rsid w:val="6741119A"/>
    <w:rsid w:val="677850FC"/>
    <w:rsid w:val="6AC879A3"/>
    <w:rsid w:val="6C1727C7"/>
    <w:rsid w:val="6C1D026B"/>
    <w:rsid w:val="6C851FDC"/>
    <w:rsid w:val="6DCA297E"/>
    <w:rsid w:val="6E7D7016"/>
    <w:rsid w:val="6EE6418B"/>
    <w:rsid w:val="6F8010C8"/>
    <w:rsid w:val="6F957CEC"/>
    <w:rsid w:val="6FB54CDB"/>
    <w:rsid w:val="7072611F"/>
    <w:rsid w:val="73A94275"/>
    <w:rsid w:val="7547180C"/>
    <w:rsid w:val="7B104B4E"/>
    <w:rsid w:val="7B47043A"/>
    <w:rsid w:val="7B6242F2"/>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semiHidden/>
    <w:unhideWhenUsed/>
    <w:qFormat/>
    <w:uiPriority w:val="99"/>
    <w:pPr>
      <w:spacing w:after="120" w:line="480" w:lineRule="auto"/>
    </w:p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annotation reference"/>
    <w:basedOn w:val="10"/>
    <w:unhideWhenUsed/>
    <w:qFormat/>
    <w:uiPriority w:val="0"/>
    <w:rPr>
      <w:sz w:val="21"/>
      <w:szCs w:val="21"/>
    </w:rPr>
  </w:style>
  <w:style w:type="paragraph" w:styleId="12">
    <w:name w:val="List Paragraph"/>
    <w:basedOn w:val="1"/>
    <w:qFormat/>
    <w:uiPriority w:val="34"/>
    <w:pPr>
      <w:ind w:firstLine="420" w:firstLineChars="200"/>
    </w:pPr>
  </w:style>
  <w:style w:type="character" w:customStyle="1" w:styleId="13">
    <w:name w:val="Anrede1IhrZeichen"/>
    <w:basedOn w:val="10"/>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0"/>
    <w:link w:val="5"/>
    <w:qFormat/>
    <w:uiPriority w:val="0"/>
    <w:rPr>
      <w:rFonts w:ascii="Times New Roman" w:hAnsi="Times New Roman" w:eastAsia="宋体" w:cs="Times New Roman"/>
      <w:kern w:val="2"/>
      <w:sz w:val="18"/>
      <w:szCs w:val="18"/>
    </w:rPr>
  </w:style>
  <w:style w:type="paragraph" w:customStyle="1" w:styleId="16">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F9527-2188-4400-B727-5DBE30C6BE12}">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238</Characters>
  <Lines>5</Lines>
  <Paragraphs>1</Paragraphs>
  <TotalTime>2</TotalTime>
  <ScaleCrop>false</ScaleCrop>
  <LinksUpToDate>false</LinksUpToDate>
  <CharactersWithSpaces>297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2020-12-17T01:10:00Z</dcterms:created>
  <dc:creator>2420</dc:creator>
  <cp:lastModifiedBy>Paula</cp:lastModifiedBy>
  <dcterms:modified xsi:type="dcterms:W3CDTF">2022-05-30T00:32:16Z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C1CA1DFBCDE544BDB35B82BCE5DDE401</vt:lpwstr>
  </property>
</Properties>
</file>