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660"/>
        </w:tabs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</w:pPr>
    </w:p>
    <w:p>
      <w:pPr>
        <w:tabs>
          <w:tab w:val="left" w:pos="420"/>
          <w:tab w:val="left" w:pos="6660"/>
        </w:tabs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  <w:t>谈 判 文 件</w:t>
      </w:r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pStyle w:val="5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pStyle w:val="6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pStyle w:val="5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pStyle w:val="6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</w:pPr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前列腺等离子电切镜、输尿管镜异物钳</w:t>
      </w:r>
    </w:p>
    <w:p>
      <w:pPr>
        <w:pStyle w:val="5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6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6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tabs>
          <w:tab w:val="left" w:pos="0"/>
          <w:tab w:val="left" w:pos="426"/>
        </w:tabs>
        <w:wordWrap w:val="0"/>
        <w:spacing w:line="360" w:lineRule="auto"/>
        <w:ind w:firstLine="723" w:firstLineChars="20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20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月</w:t>
      </w:r>
    </w:p>
    <w:p>
      <w:pPr>
        <w:rPr>
          <w:rFonts w:hint="eastAsia"/>
          <w:lang w:eastAsia="zh-CN"/>
        </w:rPr>
      </w:pPr>
    </w:p>
    <w:p>
      <w:pPr>
        <w:pStyle w:val="6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0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sdt>
      <w:sdt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d w:val="147474871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仿宋" w:hAnsi="仿宋" w:eastAsia="仿宋" w:cs="仿宋"/>
              <w:b/>
              <w:bCs/>
              <w:sz w:val="28"/>
              <w:szCs w:val="28"/>
            </w:rPr>
          </w:pPr>
          <w:bookmarkStart w:id="0" w:name="_Toc17594_WPSOffice_Type1"/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>目</w:t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  <w:t xml:space="preserve"> </w:t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>录</w:t>
          </w:r>
        </w:p>
        <w:p>
          <w:pPr>
            <w:pStyle w:val="20"/>
            <w:tabs>
              <w:tab w:val="right" w:leader="dot" w:pos="8306"/>
            </w:tabs>
            <w:rPr>
              <w:rFonts w:hint="eastAsia" w:ascii="仿宋" w:hAnsi="仿宋" w:eastAsia="仿宋" w:cs="仿宋"/>
              <w:b/>
              <w:bCs/>
              <w:sz w:val="28"/>
              <w:szCs w:val="28"/>
              <w:lang w:eastAsia="zh-CN"/>
            </w:rPr>
          </w:pPr>
          <w:sdt>
            <w:sdt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74871"/>
              <w:placeholder>
                <w:docPart w:val="{23e60ae3-7a8d-4af9-b237-b2ec2688e4c8}"/>
              </w:placeholder>
              <w15:color w:val="509DF3"/>
            </w:sdtPr>
            <w:sdtEnd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/>
                  <w:bCs/>
                  <w:kern w:val="2"/>
                  <w:sz w:val="28"/>
                  <w:szCs w:val="28"/>
                  <w:lang w:val="en-US" w:eastAsia="zh-CN" w:bidi="ar-SA"/>
                </w:rPr>
                <w:t>第一部分 谈判邀请函</w:t>
              </w:r>
            </w:sdtContent>
          </w:sdt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  <w:t>2</w:t>
          </w:r>
        </w:p>
        <w:p>
          <w:pPr>
            <w:pStyle w:val="20"/>
            <w:tabs>
              <w:tab w:val="right" w:leader="dot" w:pos="8306"/>
            </w:tabs>
            <w:rPr>
              <w:rFonts w:hint="eastAsia" w:ascii="仿宋" w:hAnsi="仿宋" w:eastAsia="仿宋" w:cs="仿宋"/>
              <w:b/>
              <w:bCs/>
              <w:sz w:val="28"/>
              <w:szCs w:val="28"/>
              <w:lang w:eastAsia="zh-CN"/>
            </w:rPr>
          </w:pPr>
          <w:sdt>
            <w:sdt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74871"/>
              <w:placeholder>
                <w:docPart w:val="{fb6986d5-d4c7-4efd-b5f1-7fa913a231d0}"/>
              </w:placeholder>
              <w15:color w:val="509DF3"/>
            </w:sdtPr>
            <w:sdtEnd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/>
                  <w:bCs/>
                  <w:kern w:val="2"/>
                  <w:sz w:val="28"/>
                  <w:szCs w:val="28"/>
                  <w:lang w:val="en-US" w:eastAsia="zh-CN" w:bidi="ar-SA"/>
                </w:rPr>
                <w:t>第二部分 采购需求书</w:t>
              </w:r>
            </w:sdtContent>
          </w:sdt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  <w:t>6</w:t>
          </w:r>
        </w:p>
        <w:p>
          <w:pPr>
            <w:pStyle w:val="20"/>
            <w:tabs>
              <w:tab w:val="right" w:leader="dot" w:pos="8306"/>
            </w:tabs>
            <w:rPr>
              <w:rFonts w:hint="default" w:ascii="仿宋" w:hAnsi="仿宋" w:eastAsia="仿宋" w:cs="仿宋"/>
              <w:b/>
              <w:bCs/>
              <w:sz w:val="28"/>
              <w:szCs w:val="28"/>
              <w:lang w:val="en-US" w:eastAsia="zh-CN"/>
            </w:rPr>
          </w:pPr>
          <w:sdt>
            <w:sdt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74871"/>
              <w:placeholder>
                <w:docPart w:val="{90f722e0-8df3-41a8-a0cb-fc645b1ad85b}"/>
              </w:placeholder>
              <w15:color w:val="509DF3"/>
            </w:sdtPr>
            <w:sdtEnd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/>
                  <w:bCs/>
                  <w:kern w:val="2"/>
                  <w:sz w:val="28"/>
                  <w:szCs w:val="28"/>
                  <w:lang w:val="en-US" w:eastAsia="zh-CN" w:bidi="ar-SA"/>
                </w:rPr>
                <w:t>第三部分 评分标准</w:t>
              </w:r>
            </w:sdtContent>
          </w:sdt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  <w:t>11</w:t>
          </w:r>
        </w:p>
        <w:p>
          <w:pPr>
            <w:pStyle w:val="20"/>
            <w:tabs>
              <w:tab w:val="right" w:leader="dot" w:pos="8306"/>
            </w:tabs>
            <w:rPr>
              <w:rFonts w:hint="default" w:ascii="仿宋" w:hAnsi="仿宋" w:eastAsia="仿宋" w:cs="仿宋"/>
              <w:b/>
              <w:bCs/>
              <w:sz w:val="28"/>
              <w:szCs w:val="28"/>
              <w:lang w:val="en-US" w:eastAsia="zh-CN"/>
            </w:rPr>
          </w:pPr>
          <w:sdt>
            <w:sdt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74871"/>
              <w:placeholder>
                <w:docPart w:val="{374c8499-bb23-40ff-a681-38061e3be905}"/>
              </w:placeholder>
              <w15:color w:val="509DF3"/>
            </w:sdtPr>
            <w:sdtEndPr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/>
                  <w:bCs/>
                  <w:kern w:val="2"/>
                  <w:sz w:val="28"/>
                  <w:szCs w:val="28"/>
                  <w:lang w:val="en-US" w:eastAsia="zh-CN" w:bidi="ar-SA"/>
                </w:rPr>
                <w:t>第四部分 报价文件格式</w:t>
              </w:r>
            </w:sdtContent>
          </w:sdt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  <w:t>14</w:t>
          </w:r>
        </w:p>
        <w:bookmarkEnd w:id="0"/>
        <w:p>
          <w:pPr>
            <w:pStyle w:val="20"/>
            <w:tabs>
              <w:tab w:val="right" w:leader="dot" w:pos="8306"/>
            </w:tabs>
            <w:rPr>
              <w:rFonts w:hint="eastAsia" w:ascii="仿宋" w:hAnsi="仿宋" w:eastAsia="仿宋" w:cs="仿宋"/>
              <w:b/>
              <w:bCs/>
              <w:sz w:val="28"/>
              <w:szCs w:val="28"/>
            </w:rPr>
          </w:pPr>
        </w:p>
      </w:sdtContent>
    </w:sdt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  <w:bookmarkStart w:id="1" w:name="_Toc26272340"/>
      <w:bookmarkStart w:id="2" w:name="_Toc25203"/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numPr>
          <w:ilvl w:val="0"/>
          <w:numId w:val="1"/>
        </w:numPr>
        <w:bidi w:val="0"/>
        <w:jc w:val="center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 xml:space="preserve"> </w:t>
      </w:r>
      <w:bookmarkEnd w:id="1"/>
      <w:r>
        <w:rPr>
          <w:rFonts w:hint="eastAsia"/>
          <w:color w:val="auto"/>
          <w:highlight w:val="none"/>
          <w:lang w:eastAsia="zh-CN"/>
        </w:rPr>
        <w:t>谈判邀请函</w:t>
      </w:r>
      <w:bookmarkEnd w:id="2"/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kern w:val="28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kern w:val="28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b/>
          <w:color w:val="auto"/>
          <w:kern w:val="28"/>
          <w:sz w:val="28"/>
          <w:szCs w:val="28"/>
          <w:highlight w:val="none"/>
          <w:lang w:eastAsia="zh-CN"/>
        </w:rPr>
        <w:t>谈判邀请函</w:t>
      </w:r>
    </w:p>
    <w:p>
      <w:pPr>
        <w:pStyle w:val="1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  <w:t>项目基本情况</w:t>
      </w:r>
    </w:p>
    <w:p>
      <w:pPr>
        <w:pStyle w:val="13"/>
        <w:widowControl/>
        <w:spacing w:beforeAutospacing="0" w:afterAutospacing="0" w:line="360" w:lineRule="auto"/>
        <w:ind w:firstLine="420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采购方式：院内谈判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综合评审最优法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eastAsia="zh-CN"/>
        </w:rPr>
        <w:t>）</w:t>
      </w:r>
    </w:p>
    <w:p>
      <w:pPr>
        <w:pStyle w:val="13"/>
        <w:widowControl/>
        <w:spacing w:beforeAutospacing="0" w:afterAutospacing="0" w:line="360" w:lineRule="auto"/>
        <w:ind w:firstLine="420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采购需求：</w:t>
      </w:r>
    </w:p>
    <w:tbl>
      <w:tblPr>
        <w:tblStyle w:val="15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2504"/>
        <w:gridCol w:w="207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119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504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074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预算金额</w:t>
            </w:r>
          </w:p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2840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119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504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前列腺等离子电切镜、输尿管镜异物钳</w:t>
            </w:r>
          </w:p>
        </w:tc>
        <w:tc>
          <w:tcPr>
            <w:tcW w:w="2074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182000.00</w:t>
            </w:r>
          </w:p>
        </w:tc>
        <w:tc>
          <w:tcPr>
            <w:tcW w:w="284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采购清单、技术参数详细见附件《谈判文件》</w:t>
            </w:r>
          </w:p>
        </w:tc>
      </w:tr>
    </w:tbl>
    <w:p>
      <w:pPr>
        <w:pStyle w:val="13"/>
        <w:widowControl/>
        <w:numPr>
          <w:ilvl w:val="0"/>
          <w:numId w:val="2"/>
        </w:numPr>
        <w:spacing w:beforeAutospacing="0" w:afterAutospacing="0" w:line="360" w:lineRule="auto"/>
        <w:ind w:firstLine="0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  <w:lang w:eastAsia="zh-CN"/>
        </w:rPr>
        <w:t>供应商</w:t>
      </w: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  <w:t>的资格要求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 w:hanging="480" w:hangingChars="200"/>
        <w:jc w:val="both"/>
        <w:textAlignment w:val="baseline"/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  <w:t>具有合法的法人资格，并在法律、财务上与项目经办人不存在关联关系；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 w:hanging="480" w:hangingChars="200"/>
        <w:jc w:val="both"/>
        <w:textAlignment w:val="baseline"/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  <w:t>报价设备或服务须在其法定营业范围内； 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 w:hanging="480" w:hangingChars="200"/>
        <w:jc w:val="both"/>
        <w:textAlignment w:val="baseline"/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  <w:t>提供有效的三证合一的营业执照、医疗器械经营许可证的副本原件； 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 w:hanging="480" w:hangingChars="200"/>
        <w:jc w:val="both"/>
        <w:textAlignment w:val="baseline"/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  <w:t>单位负责人为同一人或者存在直接控股、管理关系的不同投标人；不得参加同一合同项下的谈判活动。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 w:hanging="480" w:hangingChars="200"/>
        <w:jc w:val="both"/>
        <w:textAlignment w:val="baseline"/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  <w:t>提供偏离情况响应表，必须完全满足带"★"号条款中要求。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baseline"/>
        <w:rPr>
          <w:rStyle w:val="1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递交报价文件截止时间、递交方式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递交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报价文件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</w:rPr>
        <w:t>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</w:rPr>
        <w:t>:00（北京时间）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报价文件递交份数：6份（1份正本、5份副本）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报价文件递交方式（以下方式均可）：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电子邮件：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vertAlign w:val="baseli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vertAlign w:val="baseline"/>
          <w:lang w:val="en-US" w:eastAsia="zh-CN"/>
        </w:rPr>
        <w:instrText xml:space="preserve"> HYPERLINK "mailto:XXXXX@XXX.com"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vertAlign w:val="baseline"/>
          <w:lang w:val="en-US" w:eastAsia="zh-CN"/>
        </w:rPr>
        <w:fldChar w:fldCharType="separate"/>
      </w:r>
      <w:r>
        <w:rPr>
          <w:rStyle w:val="19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vertAlign w:val="baseline"/>
          <w:lang w:val="en-US" w:eastAsia="zh-CN"/>
        </w:rPr>
        <w:t>yxzb3959@126.com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vertAlign w:val="baselin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 林小姐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文件邮寄：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收件人：林小姐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收件电话：0760-88662120-1626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收件地址：中山市小榄镇菊城大道中65号（小榄人民医院医学装备科）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Style w:val="18"/>
          <w:rFonts w:ascii="仿宋" w:hAnsi="仿宋" w:eastAsia="仿宋" w:cs="仿宋"/>
          <w:b w:val="0"/>
          <w:bCs w:val="0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现场递交：中山市小榄人民医院内科大楼九楼医学装备管理科。</w:t>
      </w:r>
    </w:p>
    <w:p>
      <w:pPr>
        <w:pStyle w:val="1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  <w:t>公告期限</w:t>
      </w:r>
    </w:p>
    <w:p>
      <w:pPr>
        <w:pStyle w:val="13"/>
        <w:widowControl/>
        <w:shd w:val="clear" w:color="auto" w:fill="FFFFFF"/>
        <w:spacing w:beforeAutospacing="0" w:afterAutospacing="0" w:line="360" w:lineRule="auto"/>
        <w:ind w:firstLine="420"/>
        <w:textAlignment w:val="baseline"/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自本公告发布之日起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个工作日。</w:t>
      </w:r>
    </w:p>
    <w:p>
      <w:pPr>
        <w:pStyle w:val="1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  <w:lang w:eastAsia="zh-CN"/>
        </w:rPr>
        <w:t>报价文件</w:t>
      </w: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  <w:t>要求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报名时请各供应商按照以下要求提供完整的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eastAsia="zh-CN"/>
        </w:rPr>
        <w:t>报价文件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，供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进行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eastAsia="zh-CN"/>
        </w:rPr>
        <w:t>预审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报价单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偏离表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法定代表人证明书及其授权委托书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单位负责人为同一人或者存在直接控股、管理关系的不同报价人，不得参加同一合同项下的谈判活动，供应商在参与本次谈判活动中未有围标、串标行为。并出具《无围标、串标行为承诺书》（加盖公章）。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厂家资质证件（包括但不限于营业执照、医疗器械生产许可证等）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各级经销商资质证件（包括但不限于营业执照、医疗器械经营许可证、备案等）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产品医疗器械注册证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售后服务承诺函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产品配置清单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产品彩页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近三年广东地区三甲医院客户名单（销售合同）等。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Style w:val="1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Style w:val="1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注：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both"/>
        <w:textAlignment w:val="baseline"/>
        <w:rPr>
          <w:rStyle w:val="1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Style w:val="1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以上文件均需盖公章。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both"/>
        <w:textAlignment w:val="baseline"/>
        <w:rPr>
          <w:rStyle w:val="1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Style w:val="1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供应商需与法人代表（或法定代表人授权委托人）一致。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both"/>
        <w:textAlignment w:val="baseline"/>
        <w:rPr>
          <w:rStyle w:val="18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shd w:val="clear" w:color="auto" w:fill="FFFFFF"/>
        </w:rPr>
      </w:pPr>
      <w:r>
        <w:rPr>
          <w:rStyle w:val="1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预审通过后，采购人以电子邮件方式通知供应商进入下一阶段流程。</w:t>
      </w:r>
    </w:p>
    <w:p>
      <w:pPr>
        <w:pStyle w:val="1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0"/>
        <w:jc w:val="both"/>
        <w:textAlignment w:val="baseline"/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</w:pP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其他补充事宜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hanging="480" w:hangingChars="20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如现场提供资料与电子资料存在不一致，以纸质盖章资料为准。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hanging="480" w:hangingChars="20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本项目不接受联合体响应。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hanging="480" w:hangingChars="200"/>
        <w:textAlignment w:val="baseline"/>
        <w:rPr>
          <w:rStyle w:val="18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递交报价文件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截止前，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需提供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完整的报价文件供采购人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预审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，资料不全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或不通过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者，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报名无效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。</w:t>
      </w:r>
    </w:p>
    <w:p>
      <w:pPr>
        <w:pStyle w:val="1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监督部门联系方式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联系人：曾老师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联系电话：0760-88662120-1621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地 址：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中山市小榄镇菊城大道中65号内科大楼九楼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  <w:t>中山市小榄人民医院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2022年4月24日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  <w:lang w:eastAsia="zh-CN"/>
        </w:rPr>
      </w:pPr>
      <w:bookmarkStart w:id="3" w:name="_Toc26272341"/>
      <w:bookmarkStart w:id="4" w:name="_Toc14672"/>
      <w:r>
        <w:rPr>
          <w:rFonts w:hint="eastAsia"/>
          <w:color w:val="auto"/>
          <w:highlight w:val="none"/>
        </w:rPr>
        <w:t>第二部分　</w:t>
      </w:r>
      <w:bookmarkEnd w:id="3"/>
      <w:r>
        <w:rPr>
          <w:rFonts w:hint="eastAsia"/>
          <w:color w:val="auto"/>
          <w:highlight w:val="none"/>
          <w:lang w:eastAsia="zh-CN"/>
        </w:rPr>
        <w:t>采购需求书</w:t>
      </w:r>
      <w:bookmarkEnd w:id="4"/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采购需求书</w:t>
      </w:r>
    </w:p>
    <w:p>
      <w:pPr>
        <w:numPr>
          <w:ilvl w:val="0"/>
          <w:numId w:val="9"/>
        </w:numPr>
        <w:spacing w:line="360" w:lineRule="auto"/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总则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报价应包括标的设备（原装、全新合格的设备）、相关附件、配套设施、税费、运费、保险费、仓储费、安装调试、培训、质保等的全部费用，在项目实施过程中出现报价内容的任何遗漏，均由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负责相关费用，采购人将不再支付任何费用。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2.凡有“★”标识的内容条款为关键条款，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必须对此作出回答并完全满足这些要求不可以出现任何负偏离，对这些关键条款的任何负偏离将视为无效投标。加注“▲”的内容为重点评标项目，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必须对该标识项目按照要求进行真实应答描述。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3.本项目不接受联合体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不得以任何方式转包本项目。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4.单位负责人为同一人或者存在直接控股、关联关系的不同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，不得参加同一合同项下的招标活动。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★供应商应该符合《医疗器械监督管理条例》规定，如投标供应商为生产厂家，还应该符合《医疗器械生产质量管理规范》规定，如投标供应商为还应符合《医疗器械经营质量管理规范》规定，并结合本项目特性提供有效的医疗器械产品注册/备案证明材料和投标供应商的经营许可/备案证明材料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6.本文的“质保期”是指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标的物经约定的验收机构完成验收之日起算，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承诺的期限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止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sz w:val="24"/>
          <w:szCs w:val="24"/>
        </w:rPr>
        <w:t>供应商须对本项目为单位的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设备</w:t>
      </w:r>
      <w:r>
        <w:rPr>
          <w:rFonts w:hint="eastAsia" w:ascii="仿宋" w:hAnsi="仿宋" w:eastAsia="仿宋" w:cs="仿宋"/>
          <w:sz w:val="24"/>
          <w:szCs w:val="24"/>
        </w:rPr>
        <w:t>进行整体投标，任何对其中一部分内容进行的投标都视为无效投标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2"/>
        <w:spacing w:line="36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8.供</w:t>
      </w:r>
      <w:r>
        <w:rPr>
          <w:rFonts w:hint="eastAsia" w:ascii="仿宋" w:hAnsi="仿宋" w:eastAsia="仿宋" w:cs="仿宋"/>
          <w:sz w:val="24"/>
          <w:szCs w:val="24"/>
        </w:rPr>
        <w:t>应商对采购清单的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设备</w:t>
      </w:r>
      <w:r>
        <w:rPr>
          <w:rFonts w:hint="eastAsia" w:ascii="仿宋" w:hAnsi="仿宋" w:eastAsia="仿宋" w:cs="仿宋"/>
          <w:sz w:val="24"/>
          <w:szCs w:val="24"/>
        </w:rPr>
        <w:t>逐项进行分项报价，分项报价不得高于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该项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预算价</w:t>
      </w:r>
      <w:r>
        <w:rPr>
          <w:rFonts w:hint="eastAsia" w:ascii="仿宋" w:hAnsi="仿宋" w:eastAsia="仿宋" w:cs="仿宋"/>
          <w:sz w:val="24"/>
          <w:szCs w:val="24"/>
        </w:rPr>
        <w:t>，且总报价不得高于本项目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总预算金额。</w:t>
      </w:r>
    </w:p>
    <w:p>
      <w:pPr>
        <w:numPr>
          <w:ilvl w:val="0"/>
          <w:numId w:val="9"/>
        </w:numPr>
        <w:spacing w:line="440" w:lineRule="exact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基本需求</w:t>
      </w:r>
    </w:p>
    <w:p>
      <w:pPr>
        <w:pStyle w:val="5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采购清单如下：</w:t>
      </w:r>
    </w:p>
    <w:tbl>
      <w:tblPr>
        <w:tblStyle w:val="16"/>
        <w:tblW w:w="7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66"/>
        <w:gridCol w:w="1334"/>
        <w:gridCol w:w="178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3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数量（套）</w:t>
            </w:r>
          </w:p>
        </w:tc>
        <w:tc>
          <w:tcPr>
            <w:tcW w:w="17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预算单价（元）</w:t>
            </w:r>
          </w:p>
        </w:tc>
        <w:tc>
          <w:tcPr>
            <w:tcW w:w="17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预算总价（元）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输尿管镜异物钳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8000.00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前列腺等离子电切镜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84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总计：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182000.00</w:t>
            </w:r>
          </w:p>
        </w:tc>
      </w:tr>
    </w:tbl>
    <w:p>
      <w:pPr>
        <w:numPr>
          <w:ilvl w:val="0"/>
          <w:numId w:val="9"/>
        </w:numPr>
        <w:spacing w:before="157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技术参数</w:t>
      </w:r>
    </w:p>
    <w:p>
      <w:pPr>
        <w:spacing w:beforeLines="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输尿管镜异物钳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</w:t>
      </w:r>
      <w:bookmarkStart w:id="5" w:name="_GoBack"/>
      <w:bookmarkEnd w:id="5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套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技术参数要求：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1、鳄嘴钳，硬性；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2、钳头张开长度10mm；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3、钳头张开角度90度；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4、外径5Fr，工作长度为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500mm～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550mm；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5、手柄与钳芯分体式设计，快速装拆，无需对位，更易于清洗消毒；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6、自带调节轮，可随时360度旋转钳头，方便手术操作；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7、钳子带定位标记，显示钳头开头方向。</w:t>
      </w:r>
    </w:p>
    <w:p>
      <w:pPr>
        <w:spacing w:beforeLines="0" w:line="36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spacing w:beforeLines="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前列腺等离子电切镜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套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电切镜</w:t>
      </w:r>
    </w:p>
    <w:tbl>
      <w:tblPr>
        <w:tblStyle w:val="1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93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9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▲12度或30度柱状晶体光学镜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9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▲镜直径4mm，高清（HD）内窥镜。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9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▲镜工作长度302—304mm。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9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超清晰大画面技术。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9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▲可浸泡、熏蒸、可134℃高温高压消毒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49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目镜及镜端采用高品质蓝宝石镜面，无腐蚀性。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49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钛合金材质外壳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49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可同WOLF、STORZ、史赛克等多家摄像系统连接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49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▲必须能同我院现有的狠牌等离子电切系统主机匹配使用</w:t>
            </w:r>
          </w:p>
        </w:tc>
      </w:tr>
    </w:tbl>
    <w:p>
      <w:pPr>
        <w:spacing w:line="440" w:lineRule="exact"/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电切镜配套器械：</w:t>
      </w:r>
    </w:p>
    <w:tbl>
      <w:tblPr>
        <w:tblStyle w:val="16"/>
        <w:tblW w:w="0" w:type="auto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728"/>
        <w:gridCol w:w="3386"/>
        <w:gridCol w:w="697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8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38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9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43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电切镜</w:t>
            </w:r>
          </w:p>
        </w:tc>
        <w:tc>
          <w:tcPr>
            <w:tcW w:w="338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12°或30°</w:t>
            </w:r>
          </w:p>
        </w:tc>
        <w:tc>
          <w:tcPr>
            <w:tcW w:w="69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3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操作手件</w:t>
            </w:r>
          </w:p>
        </w:tc>
        <w:tc>
          <w:tcPr>
            <w:tcW w:w="338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被动式</w:t>
            </w:r>
          </w:p>
        </w:tc>
        <w:tc>
          <w:tcPr>
            <w:tcW w:w="69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3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外鞘</w:t>
            </w:r>
          </w:p>
        </w:tc>
        <w:tc>
          <w:tcPr>
            <w:tcW w:w="338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26Fr设置，进、出水通道和控制开关</w:t>
            </w:r>
          </w:p>
        </w:tc>
        <w:tc>
          <w:tcPr>
            <w:tcW w:w="69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3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内鞘</w:t>
            </w:r>
          </w:p>
        </w:tc>
        <w:tc>
          <w:tcPr>
            <w:tcW w:w="338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24Fr设置，可360°旋转</w:t>
            </w:r>
          </w:p>
        </w:tc>
        <w:tc>
          <w:tcPr>
            <w:tcW w:w="69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3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内鞘进水接头</w:t>
            </w:r>
          </w:p>
        </w:tc>
        <w:tc>
          <w:tcPr>
            <w:tcW w:w="338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遇尿道狭窄时可配合内鞘实现腔内进水，实施单鞘手术</w:t>
            </w:r>
          </w:p>
        </w:tc>
        <w:tc>
          <w:tcPr>
            <w:tcW w:w="69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3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闭孔器</w:t>
            </w:r>
          </w:p>
        </w:tc>
        <w:tc>
          <w:tcPr>
            <w:tcW w:w="338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3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2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冲洗接头</w:t>
            </w:r>
          </w:p>
        </w:tc>
        <w:tc>
          <w:tcPr>
            <w:tcW w:w="338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3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2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电切电极</w:t>
            </w:r>
          </w:p>
        </w:tc>
        <w:tc>
          <w:tcPr>
            <w:tcW w:w="338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3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2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电凝电极</w:t>
            </w:r>
          </w:p>
        </w:tc>
        <w:tc>
          <w:tcPr>
            <w:tcW w:w="338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3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2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膀胱排空器</w:t>
            </w:r>
          </w:p>
        </w:tc>
        <w:tc>
          <w:tcPr>
            <w:tcW w:w="338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3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2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双极连接电缆</w:t>
            </w:r>
          </w:p>
        </w:tc>
        <w:tc>
          <w:tcPr>
            <w:tcW w:w="338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3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</w:tbl>
    <w:p>
      <w:pPr>
        <w:pStyle w:val="2"/>
        <w:numPr>
          <w:ilvl w:val="0"/>
          <w:numId w:val="0"/>
        </w:numPr>
        <w:spacing w:line="440" w:lineRule="exact"/>
        <w:ind w:leftChars="0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设备配套耗材</w:t>
      </w:r>
    </w:p>
    <w:p>
      <w:pPr>
        <w:pStyle w:val="2"/>
        <w:numPr>
          <w:ilvl w:val="0"/>
          <w:numId w:val="0"/>
        </w:numPr>
        <w:spacing w:line="440" w:lineRule="exact"/>
        <w:ind w:leftChars="0" w:firstLine="480" w:firstLineChars="200"/>
        <w:rPr>
          <w:rFonts w:hint="eastAsia" w:ascii="仿宋" w:hAnsi="仿宋" w:eastAsia="仿宋" w:cs="仿宋"/>
          <w:b/>
          <w:color w:val="00000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1.前列腺等离子电切镜配套耗材电极，最高限价3600元/条。</w:t>
      </w:r>
    </w:p>
    <w:p>
      <w:pPr>
        <w:numPr>
          <w:ilvl w:val="0"/>
          <w:numId w:val="0"/>
        </w:numPr>
        <w:spacing w:before="157" w:beforeLines="50"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商务要求</w:t>
      </w:r>
    </w:p>
    <w:p>
      <w:pPr>
        <w:spacing w:beforeLines="0"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1.交货及安装、验收要求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1.1交货地点：采购人指定地点。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1.2交货期：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应当在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成交通知书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发出之日起30日内按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磋商文件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响应文件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确定的事项与采购人签订合同，签订合同后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日内完成设备的安装调试。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1.3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须保证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成交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后所提供的设备为原装、全新合格的产品。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1.4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负责派技术人员到现场进行安装调试，直至验收合格，安装调试所需费用应包含在投标总报价内；同时提供培训服务，必须保证需求科室操作人员融会贯通，培训所需费用全部包含在总报价内。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1.5验收方式：按《小榄镇镇属医院医疗项目采购和验收管理规定》。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★1.6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须要在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响应文件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做出具承诺函，该承诺函包括但不限于以下内容: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如项目成交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承诺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成交结果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公告发布之日起五个工作日内提供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所投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设备制造厂商开具并盖章的合法有效的授权函原件（盖鲜章）、售后服务承诺函原件（盖鲜章）。</w:t>
      </w:r>
    </w:p>
    <w:p>
      <w:pPr>
        <w:spacing w:beforeLines="0"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2.售后服务要求</w:t>
      </w:r>
    </w:p>
    <w:p>
      <w:pPr>
        <w:tabs>
          <w:tab w:val="left" w:pos="420"/>
        </w:tabs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2.1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必须在中国境内有售后服务机构，并附有售后服务能力说明。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★2.2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须提供设备原厂质保（设备原厂质量保修范围和保修期）至少为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在售后期内，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在接到用户的维修通知，响应时间为半小时内，工程师到达现场时间为4小时内，排除故障时限为到达现场后8小时内。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如果产品故障在检修12小时后仍无法排除，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应在24小时内提供不低于故障产品规格型号档次的备用产品供采购人使用，直至故障产品修复。</w:t>
      </w:r>
    </w:p>
    <w:p>
      <w:pPr>
        <w:spacing w:beforeLines="0"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3.付款方式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★3.1本合同的每笔款项以人民币转账方式支付，合同设备到采购人指定地点交付并完成安装，验收合格后，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凭：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（1）合同；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（2）验收调试合格报告（加盖采购人公章）；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开具的正式发票（加盖发票专用章）。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★3.2具体付款方式：合同签订后，采购人预付合同总金额的20%款项，同时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须提供相同金额的收款收据；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按合同协议时间提供设备，并经协议规定的验收机构书面确认验收合格后，开具全额发票，采购人确认发票无误后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内支付合同总金额的75%；合同总金额的5%在质保期满后一次性无息退还。</w:t>
      </w:r>
    </w:p>
    <w:p>
      <w:pPr>
        <w:pStyle w:val="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第</w:t>
      </w: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 xml:space="preserve">部分 </w:t>
      </w: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评分标准</w:t>
      </w: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jc w:val="center"/>
        <w:rPr>
          <w:rFonts w:hint="eastAsia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评分标准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分值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分配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>
      <w:pPr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总分=技术商务评审+价格评审</w:t>
      </w:r>
    </w:p>
    <w:tbl>
      <w:tblPr>
        <w:tblStyle w:val="16"/>
        <w:tblpPr w:leftFromText="180" w:rightFromText="180" w:vertAnchor="text" w:horzAnchor="page" w:tblpX="1695" w:tblpY="32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3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12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技术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商务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评审</w:t>
            </w:r>
          </w:p>
        </w:tc>
        <w:tc>
          <w:tcPr>
            <w:tcW w:w="29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价格评审</w:t>
            </w:r>
          </w:p>
        </w:tc>
        <w:tc>
          <w:tcPr>
            <w:tcW w:w="29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912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</w:p>
        </w:tc>
        <w:tc>
          <w:tcPr>
            <w:tcW w:w="29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</w:p>
        </w:tc>
        <w:tc>
          <w:tcPr>
            <w:tcW w:w="29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</w:p>
        </w:tc>
      </w:tr>
    </w:tbl>
    <w:p>
      <w:pPr>
        <w:spacing w:line="44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价格评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p>
      <w:pPr>
        <w:shd w:val="solid" w:color="FFFFFF" w:fill="auto"/>
        <w:autoSpaceDN w:val="0"/>
        <w:spacing w:after="225" w:line="24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报价得分=（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基准价/最后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报价）×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</w:t>
      </w:r>
    </w:p>
    <w:p>
      <w:pPr>
        <w:shd w:val="solid" w:color="FFFFFF" w:fill="auto"/>
        <w:autoSpaceDN w:val="0"/>
        <w:spacing w:after="225" w:line="24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报价得分四舍五入后，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小数点后保留两位有效数</w:t>
      </w:r>
    </w:p>
    <w:p>
      <w:pPr>
        <w:pStyle w:val="12"/>
        <w:spacing w:line="240" w:lineRule="auto"/>
        <w:ind w:left="0" w:leftChars="0" w:firstLine="240" w:firstLineChars="1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依此计算出所有响应供应商的价格评分。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技术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商务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评审：</w:t>
      </w:r>
    </w:p>
    <w:tbl>
      <w:tblPr>
        <w:tblStyle w:val="15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45"/>
        <w:gridCol w:w="969"/>
        <w:gridCol w:w="504"/>
        <w:gridCol w:w="617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445" w:type="dxa"/>
            <w:shd w:val="clear" w:color="000000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69" w:type="dxa"/>
            <w:shd w:val="clear" w:color="000000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评分指标</w:t>
            </w:r>
          </w:p>
        </w:tc>
        <w:tc>
          <w:tcPr>
            <w:tcW w:w="504" w:type="dxa"/>
            <w:shd w:val="clear" w:color="000000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6178" w:type="dxa"/>
            <w:shd w:val="clear" w:color="000000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评分范围</w:t>
            </w:r>
          </w:p>
        </w:tc>
        <w:tc>
          <w:tcPr>
            <w:tcW w:w="996" w:type="dxa"/>
            <w:shd w:val="clear" w:color="000000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供应商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（...）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3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用户需求响应程度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根据投标文件对用户需求书中的条款（即非“★”号条款）响应程度进行评审，完全满足得30分。其中，带“▲”号参数为重要技术指标，一项不满足（负偏离）扣3分；非“▲”号参数（带“★号”项除外）为一般性技术指标，一项不满足（负偏离）扣1分，扣完为止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以“技术条款响应表”及应招标要求提供的相关证明材料作为评审依据。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3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试剂、耗材或消耗品等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根据试剂、耗材或消耗品等内容性质及报价的合理性进行评审：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 提供属于通用的试剂、耗材或消耗品等内容，报价低于最高限价的50%（不含）以上的，得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分；报价低于最高限价且在最高限价的30%（不含）至50%（含）之间，得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分；报价低于最高限价且在最高限价的0至30%（含）之间，得4分。报价高于最高限价的，得1分。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 提供属于专机专用试剂、耗材或消耗品等内容，报价低于最高限价的50%（不含）以上的，得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分；报价低于最高限价且在最高限价的30%（不含）至50%（含）之间，得4分；报价低于最高限价且在最高限价的0至30%（含）之间的，得2分。报价高于最高限价的，得0分。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3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设备的拓展性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根据供应商所投设备的拓展性（功能是否齐全、能否完好的适应用户环境及需求）进行评审。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优：所投设备的拓展性好的，得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良：所投设备的拓展性较好的，得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中：所投设备的拓展性一般的，得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差：所投设备的拓展性差的，得0分。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设备操作的实用性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根据供应商所投设备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操作的实用性（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操作便利性、维修简易性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进行评审。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优：所投设备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实用性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强的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良：所投设备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操作的实用性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较强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中：所投设备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操作的实用性一般的，得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差：所投设备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操作的实用性差的，得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0分。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商务响应情况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根据供应商的投标文件的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响应程度进行评审。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投标文件的响应符合用户需求书的商务要求，得5分；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投标文件部分响应用户需求书的商务要求，得2分；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投标文件的响应较差或无，得0分。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质量保证措施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在用户需求质保期要求的基础上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topLinePunct w:val="0"/>
              <w:bidi w:val="0"/>
              <w:spacing w:line="24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延长1年，得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topLinePunct w:val="0"/>
              <w:bidi w:val="0"/>
              <w:spacing w:line="24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延长2年，得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topLinePunct w:val="0"/>
              <w:bidi w:val="0"/>
              <w:spacing w:line="24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延长3年，得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本项最高得分不超过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分。（延长的质保期须为原厂质保）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1414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得分合计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5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ind w:firstLine="2209" w:firstLineChars="500"/>
        <w:jc w:val="both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第</w:t>
      </w:r>
      <w:r>
        <w:rPr>
          <w:rFonts w:hint="eastAsia"/>
          <w:color w:val="auto"/>
          <w:highlight w:val="none"/>
          <w:lang w:val="en-US" w:eastAsia="zh-CN"/>
        </w:rPr>
        <w:t>四</w:t>
      </w:r>
      <w:r>
        <w:rPr>
          <w:rFonts w:hint="eastAsia"/>
          <w:color w:val="auto"/>
          <w:highlight w:val="none"/>
        </w:rPr>
        <w:t>部分　</w:t>
      </w:r>
      <w:r>
        <w:rPr>
          <w:rFonts w:hint="eastAsia"/>
          <w:color w:val="auto"/>
          <w:highlight w:val="none"/>
          <w:lang w:val="en-US" w:eastAsia="zh-CN"/>
        </w:rPr>
        <w:t>报价文件格式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 w:eastAsia="宋体"/>
          <w:sz w:val="24"/>
          <w:szCs w:val="24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报价单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致中山市小榄人民医院：</w:t>
      </w:r>
    </w:p>
    <w:tbl>
      <w:tblPr>
        <w:tblStyle w:val="16"/>
        <w:tblpPr w:leftFromText="180" w:rightFromText="180" w:vertAnchor="text" w:horzAnchor="page" w:tblpX="1935" w:tblpY="39"/>
        <w:tblOverlap w:val="never"/>
        <w:tblW w:w="8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3"/>
        <w:gridCol w:w="2492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05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设备名称</w:t>
            </w:r>
          </w:p>
        </w:tc>
        <w:tc>
          <w:tcPr>
            <w:tcW w:w="2492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7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05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设备型号</w:t>
            </w:r>
          </w:p>
        </w:tc>
        <w:tc>
          <w:tcPr>
            <w:tcW w:w="2492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05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厂家/品牌</w:t>
            </w:r>
          </w:p>
        </w:tc>
        <w:tc>
          <w:tcPr>
            <w:tcW w:w="2492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05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产地</w:t>
            </w:r>
          </w:p>
        </w:tc>
        <w:tc>
          <w:tcPr>
            <w:tcW w:w="2492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05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质保期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92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05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2492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05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单价（元）</w:t>
            </w:r>
          </w:p>
        </w:tc>
        <w:tc>
          <w:tcPr>
            <w:tcW w:w="2492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7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05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总价（元）</w:t>
            </w:r>
          </w:p>
        </w:tc>
        <w:tc>
          <w:tcPr>
            <w:tcW w:w="2492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053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耗材报价(如有）（元）</w:t>
            </w:r>
          </w:p>
        </w:tc>
        <w:tc>
          <w:tcPr>
            <w:tcW w:w="2492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合计：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（元）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报价时间：</w:t>
      </w:r>
    </w:p>
    <w:p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jc w:val="center"/>
        <w:rPr>
          <w:rFonts w:hint="default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耗材资料填写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0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药交ID</w:t>
            </w:r>
          </w:p>
        </w:tc>
        <w:tc>
          <w:tcPr>
            <w:tcW w:w="48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国家医保耗材代码</w:t>
            </w:r>
          </w:p>
        </w:tc>
        <w:tc>
          <w:tcPr>
            <w:tcW w:w="48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医疗器械注册证号</w:t>
            </w:r>
          </w:p>
        </w:tc>
        <w:tc>
          <w:tcPr>
            <w:tcW w:w="48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产品名称</w:t>
            </w:r>
          </w:p>
        </w:tc>
        <w:tc>
          <w:tcPr>
            <w:tcW w:w="48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规格型号</w:t>
            </w:r>
          </w:p>
        </w:tc>
        <w:tc>
          <w:tcPr>
            <w:tcW w:w="48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耗材/试剂/消耗品/配件</w:t>
            </w:r>
          </w:p>
        </w:tc>
        <w:tc>
          <w:tcPr>
            <w:tcW w:w="48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是否专机专用</w:t>
            </w:r>
          </w:p>
        </w:tc>
        <w:tc>
          <w:tcPr>
            <w:tcW w:w="48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是否可收费</w:t>
            </w:r>
          </w:p>
        </w:tc>
        <w:tc>
          <w:tcPr>
            <w:tcW w:w="48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联盟区/省平台</w:t>
            </w:r>
          </w:p>
        </w:tc>
        <w:tc>
          <w:tcPr>
            <w:tcW w:w="48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供应商报价（如果在联盟区，报价不得高于联盟区限价）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</w:tc>
        <w:tc>
          <w:tcPr>
            <w:tcW w:w="48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特殊情况说明</w:t>
            </w:r>
          </w:p>
        </w:tc>
        <w:tc>
          <w:tcPr>
            <w:tcW w:w="48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参数偏离情况表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填写要求：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1、请按用户需求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要求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逐条响应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，正负偏离参数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备注说明。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、其中带★的参数是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必须完全响应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的参数。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3、所投产品的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参数满足率≥90%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方视为满足需求的合格产品。</w:t>
      </w:r>
    </w:p>
    <w:p>
      <w:pPr>
        <w:spacing w:line="38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numPr>
          <w:ilvl w:val="0"/>
          <w:numId w:val="11"/>
        </w:numPr>
        <w:tabs>
          <w:tab w:val="left" w:pos="720"/>
        </w:tabs>
        <w:spacing w:line="340" w:lineRule="exact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技术要求：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（请按用户需求里的技术要求及配置要求逐条响应）</w:t>
      </w:r>
    </w:p>
    <w:p>
      <w:pPr>
        <w:tabs>
          <w:tab w:val="left" w:pos="720"/>
        </w:tabs>
        <w:spacing w:line="340" w:lineRule="exact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tbl>
      <w:tblPr>
        <w:tblStyle w:val="15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483"/>
        <w:gridCol w:w="1227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  <w:t>技术参数项目</w:t>
            </w: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  <w:t>技术参数及配置要求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输尿管镜异物钳</w:t>
            </w: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  <w:t>1.1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鳄嘴钳，硬性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1.2钳头张开长度10mm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1.3钳头张开角度90度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1.4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外径5Fr，工作长度为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500mm～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550mm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手柄与钳芯分体式设计，快速装拆，无需对位，更易于清洗消毒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1.6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自带调节轮，可随时360度旋转钳头，方便手术操作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1.7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钳子带定位标记，显示钳头开头方向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前列腺等离子电切镜</w:t>
            </w: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▲12度或30度柱状晶体光学镜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▲镜直径4mm，高清（HD）内窥镜。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2.3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▲镜工作长度302—304mm。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2.4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超清晰大画面技术。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▲可浸泡、熏蒸、可134℃高温高压消毒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2.6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目镜及镜端采用高品质蓝宝石镜面，无腐蚀性。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2.7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钛合金材质外壳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2.8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可同WOLF、STORZ、史赛克等多家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摄像系统连接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2.9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▲必须能同我院现有的狠牌等离子电切系统主机匹配使用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2.10</w:t>
            </w:r>
          </w:p>
          <w:tbl>
            <w:tblPr>
              <w:tblStyle w:val="16"/>
              <w:tblpPr w:leftFromText="180" w:rightFromText="180" w:vertAnchor="text" w:horzAnchor="page" w:tblpX="-206" w:tblpY="500"/>
              <w:tblOverlap w:val="never"/>
              <w:tblW w:w="43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8"/>
              <w:gridCol w:w="775"/>
              <w:gridCol w:w="1982"/>
              <w:gridCol w:w="495"/>
              <w:gridCol w:w="5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6" w:hRule="atLeast"/>
              </w:trPr>
              <w:tc>
                <w:tcPr>
                  <w:tcW w:w="538" w:type="dxa"/>
                </w:tcPr>
                <w:p>
                  <w:pPr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775" w:type="dxa"/>
                </w:tcPr>
                <w:p>
                  <w:pPr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名称</w:t>
                  </w:r>
                </w:p>
              </w:tc>
              <w:tc>
                <w:tcPr>
                  <w:tcW w:w="1982" w:type="dxa"/>
                </w:tcPr>
                <w:p>
                  <w:pPr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要求</w:t>
                  </w:r>
                </w:p>
              </w:tc>
              <w:tc>
                <w:tcPr>
                  <w:tcW w:w="495" w:type="dxa"/>
                </w:tcPr>
                <w:p>
                  <w:pPr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数量</w:t>
                  </w:r>
                </w:p>
              </w:tc>
              <w:tc>
                <w:tcPr>
                  <w:tcW w:w="568" w:type="dxa"/>
                </w:tcPr>
                <w:p>
                  <w:pPr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538" w:type="dxa"/>
                </w:tcPr>
                <w:p>
                  <w:pPr>
                    <w:spacing w:line="440" w:lineRule="exact"/>
                    <w:jc w:val="both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77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电切镜</w:t>
                  </w:r>
                </w:p>
              </w:tc>
              <w:tc>
                <w:tcPr>
                  <w:tcW w:w="1982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12°或30°</w:t>
                  </w:r>
                </w:p>
              </w:tc>
              <w:tc>
                <w:tcPr>
                  <w:tcW w:w="49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68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6" w:hRule="atLeast"/>
              </w:trPr>
              <w:tc>
                <w:tcPr>
                  <w:tcW w:w="538" w:type="dxa"/>
                </w:tcPr>
                <w:p>
                  <w:pPr>
                    <w:spacing w:line="440" w:lineRule="exact"/>
                    <w:jc w:val="both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77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操作手件</w:t>
                  </w:r>
                </w:p>
              </w:tc>
              <w:tc>
                <w:tcPr>
                  <w:tcW w:w="1982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被动式</w:t>
                  </w:r>
                </w:p>
              </w:tc>
              <w:tc>
                <w:tcPr>
                  <w:tcW w:w="49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68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9" w:hRule="atLeast"/>
              </w:trPr>
              <w:tc>
                <w:tcPr>
                  <w:tcW w:w="538" w:type="dxa"/>
                </w:tcPr>
                <w:p>
                  <w:pPr>
                    <w:spacing w:line="440" w:lineRule="exact"/>
                    <w:jc w:val="both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77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外鞘</w:t>
                  </w:r>
                </w:p>
              </w:tc>
              <w:tc>
                <w:tcPr>
                  <w:tcW w:w="1982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26Fr设置，进、出水通道和控制开关</w:t>
                  </w:r>
                </w:p>
              </w:tc>
              <w:tc>
                <w:tcPr>
                  <w:tcW w:w="49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68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6" w:hRule="atLeast"/>
              </w:trPr>
              <w:tc>
                <w:tcPr>
                  <w:tcW w:w="538" w:type="dxa"/>
                </w:tcPr>
                <w:p>
                  <w:pPr>
                    <w:spacing w:line="440" w:lineRule="exact"/>
                    <w:jc w:val="both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77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内鞘</w:t>
                  </w:r>
                </w:p>
              </w:tc>
              <w:tc>
                <w:tcPr>
                  <w:tcW w:w="1982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24Fr设置，可360°旋转</w:t>
                  </w:r>
                </w:p>
              </w:tc>
              <w:tc>
                <w:tcPr>
                  <w:tcW w:w="49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68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3" w:hRule="atLeast"/>
              </w:trPr>
              <w:tc>
                <w:tcPr>
                  <w:tcW w:w="538" w:type="dxa"/>
                </w:tcPr>
                <w:p>
                  <w:pPr>
                    <w:spacing w:line="440" w:lineRule="exact"/>
                    <w:jc w:val="both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77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内鞘进水接头</w:t>
                  </w:r>
                </w:p>
              </w:tc>
              <w:tc>
                <w:tcPr>
                  <w:tcW w:w="1982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遇尿道狭窄时可配合内鞘实现腔内进水，实施单鞘手术</w:t>
                  </w:r>
                </w:p>
              </w:tc>
              <w:tc>
                <w:tcPr>
                  <w:tcW w:w="49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68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538" w:type="dxa"/>
                </w:tcPr>
                <w:p>
                  <w:pPr>
                    <w:spacing w:line="440" w:lineRule="exact"/>
                    <w:jc w:val="both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77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闭孔器</w:t>
                  </w:r>
                </w:p>
              </w:tc>
              <w:tc>
                <w:tcPr>
                  <w:tcW w:w="1982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9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68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6" w:hRule="atLeast"/>
              </w:trPr>
              <w:tc>
                <w:tcPr>
                  <w:tcW w:w="538" w:type="dxa"/>
                </w:tcPr>
                <w:p>
                  <w:pPr>
                    <w:spacing w:line="440" w:lineRule="exact"/>
                    <w:jc w:val="both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77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冲洗接头</w:t>
                  </w:r>
                </w:p>
              </w:tc>
              <w:tc>
                <w:tcPr>
                  <w:tcW w:w="1982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9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68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6" w:hRule="atLeast"/>
              </w:trPr>
              <w:tc>
                <w:tcPr>
                  <w:tcW w:w="538" w:type="dxa"/>
                </w:tcPr>
                <w:p>
                  <w:pPr>
                    <w:spacing w:line="440" w:lineRule="exact"/>
                    <w:jc w:val="both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77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电切电极</w:t>
                  </w:r>
                </w:p>
              </w:tc>
              <w:tc>
                <w:tcPr>
                  <w:tcW w:w="1982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9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68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6" w:hRule="atLeast"/>
              </w:trPr>
              <w:tc>
                <w:tcPr>
                  <w:tcW w:w="538" w:type="dxa"/>
                </w:tcPr>
                <w:p>
                  <w:pPr>
                    <w:spacing w:line="440" w:lineRule="exact"/>
                    <w:jc w:val="both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77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电凝电极</w:t>
                  </w:r>
                </w:p>
              </w:tc>
              <w:tc>
                <w:tcPr>
                  <w:tcW w:w="1982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9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68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6" w:hRule="atLeast"/>
              </w:trPr>
              <w:tc>
                <w:tcPr>
                  <w:tcW w:w="538" w:type="dxa"/>
                </w:tcPr>
                <w:p>
                  <w:pPr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77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膀胱排空器</w:t>
                  </w:r>
                </w:p>
              </w:tc>
              <w:tc>
                <w:tcPr>
                  <w:tcW w:w="1982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9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68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5" w:hRule="atLeast"/>
              </w:trPr>
              <w:tc>
                <w:tcPr>
                  <w:tcW w:w="538" w:type="dxa"/>
                </w:tcPr>
                <w:p>
                  <w:pPr>
                    <w:spacing w:line="44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77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/>
                      <w:kern w:val="0"/>
                      <w:sz w:val="24"/>
                      <w:szCs w:val="24"/>
                    </w:rPr>
                    <w:t>双极连接电缆</w:t>
                  </w:r>
                </w:p>
              </w:tc>
              <w:tc>
                <w:tcPr>
                  <w:tcW w:w="1982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95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68" w:type="dxa"/>
                </w:tcPr>
                <w:p>
                  <w:pPr>
                    <w:spacing w:line="4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</w:tr>
          </w:tbl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numPr>
          <w:ilvl w:val="0"/>
          <w:numId w:val="11"/>
        </w:numPr>
        <w:tabs>
          <w:tab w:val="left" w:pos="720"/>
        </w:tabs>
        <w:spacing w:line="340" w:lineRule="exact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商务要求：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（请按用户需求里的商务要求逐条响应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）</w:t>
      </w:r>
    </w:p>
    <w:tbl>
      <w:tblPr>
        <w:tblStyle w:val="15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商务参数项目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商务要求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pacing w:beforeLines="0" w:line="360" w:lineRule="auto"/>
              <w:ind w:firstLine="482" w:firstLineChars="200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交货及安装、验收要求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1.1交货地点：采购人指定地点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1.2交货期：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应当在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成交通知书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发出之日起30日内按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磋商文件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响应文件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确定的事项与采购人签订合同，签订合同后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日内完成设备的安装调试。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须保证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后所提供的设备为原装、全新合格的产品。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负责派技术人员到现场进行安装调试，直至验收合格，安装调试所需费用应包含在投标总报价内；同时提供培训服务，必须保证需求科室操作人员融会贯通，培训所需费用全部包含在总报价内。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1.5验收方式：按《小榄镇镇属医院医疗项目采购和验收管理规定》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★1.6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须要在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响应文件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做出具承诺函，该承诺函包括但不限于以下内容:</w:t>
            </w:r>
          </w:p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如项目成交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成交结果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公告发布之日起五个工作日内提供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设备制造厂商开具并盖章的合法有效的授权函原件（盖鲜章）、售后服务承诺函原件（盖鲜章）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售后服务要求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必须在中国境内有售后服务机构，并附有售后服务能力说明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★2.2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须提供设备原厂质保（设备原厂质量保修范围和保修期）至少为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在售后期内，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在接到用户的维修通知，响应时间为半小时内，工程师到达现场时间为4小时内，排除故障时限为到达现场后8小时内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如果产品故障在检修12小时后仍无法排除，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应在24小时内提供不低于故障产品规格型号档次的备用产品供采购人使用，直至故障产品修复。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付款方式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★3.1本合同的每笔款项以人民币转账方式支付，合同设备到采购人指定地点交付并完成安装，验收合格后，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凭：</w:t>
            </w:r>
          </w:p>
          <w:p>
            <w:pPr>
              <w:spacing w:beforeLines="0"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（1）合同；</w:t>
            </w:r>
          </w:p>
          <w:p>
            <w:pPr>
              <w:spacing w:beforeLines="0"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（2）验收调试合格报告（加盖采购人公章）；</w:t>
            </w:r>
          </w:p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（3）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开具的正式发票（加盖发票专用章）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★3.2具体付款方式：合同签订后，采购人预付合同总金额的20%款项，同时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须提供相同金额的收款收据；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按合同协议时间提供设备，并经协议规定的验收机构书面确认验收合格后，开具全额发票，采购人确认发票无误后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内支付合同总金额的75%；合同总金额的5%在质保期满后一次性无息退还。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pStyle w:val="5"/>
        <w:rPr>
          <w:rFonts w:hint="eastAsia"/>
          <w:color w:val="auto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法定代表人证明书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ind w:firstLine="470" w:firstLineChars="196"/>
        <w:rPr>
          <w:rFonts w:ascii="宋体" w:hAnsi="宋体"/>
          <w:sz w:val="24"/>
        </w:rPr>
      </w:pPr>
    </w:p>
    <w:p>
      <w:pPr>
        <w:spacing w:line="480" w:lineRule="exact"/>
        <w:ind w:firstLine="468" w:firstLineChars="1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姓名：      </w:t>
      </w:r>
      <w:r>
        <w:rPr>
          <w:rFonts w:hint="eastAsia" w:ascii="宋体" w:hAnsi="宋体"/>
          <w:sz w:val="24"/>
          <w:lang w:val="en-US" w:eastAsia="zh-CN"/>
        </w:rPr>
        <w:t xml:space="preserve">        </w:t>
      </w:r>
      <w:r>
        <w:rPr>
          <w:rFonts w:hint="eastAsia" w:ascii="宋体" w:hAnsi="宋体"/>
          <w:sz w:val="24"/>
        </w:rPr>
        <w:t xml:space="preserve"> 性别：       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 xml:space="preserve"> 年龄： </w:t>
      </w:r>
    </w:p>
    <w:p>
      <w:pPr>
        <w:spacing w:line="480" w:lineRule="exact"/>
        <w:ind w:firstLine="468" w:firstLineChars="195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</w:t>
      </w:r>
      <w:r>
        <w:rPr>
          <w:rFonts w:hint="eastAsia" w:ascii="宋体" w:hAnsi="宋体"/>
          <w:sz w:val="24"/>
        </w:rPr>
        <w:t xml:space="preserve">  职务：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ind w:firstLine="470" w:firstLineChars="19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/>
          <w:sz w:val="24"/>
        </w:rPr>
        <w:t>的法定代表人。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ind w:firstLine="955" w:firstLineChars="39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特此证明！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单位（盖章）：</w:t>
      </w: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日期：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spacing w:line="48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u w:val="none"/>
          <w:lang w:eastAsia="zh-CN"/>
        </w:rPr>
      </w:pPr>
      <w:r>
        <w:rPr>
          <w:rFonts w:ascii="宋体" w:hAnsi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u w:val="non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518795</wp:posOffset>
                </wp:positionV>
                <wp:extent cx="5434965" cy="2601595"/>
                <wp:effectExtent l="4445" t="4445" r="8890" b="22860"/>
                <wp:wrapSquare wrapText="bothSides"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4965" cy="2601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b w:val="0"/>
                                <w:bCs w:val="0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（附法定代表人身份证正、反面）</w:t>
                            </w: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pt;margin-top:40.85pt;height:204.85pt;width:427.95pt;mso-wrap-distance-bottom:0pt;mso-wrap-distance-left:9.05pt;mso-wrap-distance-right:9.05pt;mso-wrap-distance-top:0pt;z-index:251660288;mso-width-relative:page;mso-height-relative:page;" fillcolor="#FFFFFF" filled="t" stroked="t" coordsize="21600,21600" o:gfxdata="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b2+vZ2AAAAAkBAAAPAAAAAAAAAAEAIAAAACIAAABkcnMvZG93bnJldi54bWxQSwEC&#10;FAAUAAAACACHTuJAH4EtKGYCAACsBAAADgAAAAAAAAABACAAAAAnAQAAZHJzL2Uyb0RvYy54bWxQ&#10;SwUGAAAAAAYABgBZAQAA/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b w:val="0"/>
                          <w:bCs w:val="0"/>
                          <w:szCs w:val="21"/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（附法定代表人身份证正、反面）</w:t>
                      </w:r>
                    </w:p>
                    <w:p>
                      <w:pPr>
                        <w:jc w:val="center"/>
                        <w:rPr>
                          <w:b w:val="0"/>
                          <w:bCs w:val="0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法定代表人授权委托书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中山市小榄人民医院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兹授权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同志，为我方签订经济合同及办理其他事务代理人，其权限是：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                                          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 xml:space="preserve">授权单位（盖章）： 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法定代表人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（签名或盖私章）：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附：代理人性别：        年龄：       职务：         身份证号码：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联系电话：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统一社会信用代码：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说明：1、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法定代表人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为企业事业单位、国家机关、社会团体的主要行政负责人。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2、此处所述“法定代表人”，须与供应商“营业执照”上的内容一致。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 xml:space="preserve">      3、内容必须填写真实、清楚、涂改无效，不得转让、买卖。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4、将此证明书提交对方作为合同附件。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5、授权权限：全权代表本公司参与上述采购项目的报价，负责提供与签署确认一切文书资料，以及向贵方递交的任何补充承诺。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6" w:firstLineChars="307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6、签字代表为法定代表人，则本表不适用。</w:t>
      </w:r>
    </w:p>
    <w:p>
      <w:pPr>
        <w:pStyle w:val="5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7、身份证复印件或扫描件须在有效期内。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6" w:firstLineChars="307"/>
        <w:textAlignment w:val="auto"/>
        <w:rPr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8、有效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期限：与本公司报价文件中标注的投标有效期相同，自本单位盖公章之日起生效。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ascii="宋体" w:hAnsi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u w:val="none"/>
        </w:rPr>
        <mc:AlternateContent>
          <mc:Choice Requires="wps">
            <w:drawing>
              <wp:inline distT="0" distB="0" distL="114935" distR="114935">
                <wp:extent cx="5765165" cy="2400300"/>
                <wp:effectExtent l="4445" t="4445" r="21590" b="14605"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165" cy="240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b w:val="0"/>
                                <w:bCs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>受托人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 w:val="0"/>
                                <w:szCs w:val="21"/>
                              </w:rPr>
                              <w:t>身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</w:rPr>
                              <w:t>份证正面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>和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</w:rPr>
                              <w:t>反面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 w:val="0"/>
                                <w:szCs w:val="21"/>
                              </w:rPr>
                              <w:t>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76" type="#_x0000_t176" style="height:189pt;width:453.95pt;" fillcolor="#FFFFFF" filled="t" stroked="t" coordsize="21600,21600" o:gfxdata="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mrvztUAAAAFAQAADwAAAAAAAAABACAAAAAiAAAAZHJzL2Rvd25yZXYueG1sUEsBAhQA&#10;FAAAAAgAh07iQLIEa4VnAgAArAQAAA4AAAAAAAAAAQAgAAAAJAEAAGRycy9lMm9Eb2MueG1sUEsF&#10;BgAAAAAGAAYAWQEAAP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b w:val="0"/>
                          <w:bCs w:val="0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b w:val="0"/>
                          <w:bCs w:val="0"/>
                          <w:szCs w:val="21"/>
                        </w:rPr>
                      </w:pPr>
                      <w:r>
                        <w:rPr>
                          <w:rFonts w:hint="eastAsia" w:hAnsi="宋体"/>
                          <w:b w:val="0"/>
                          <w:bCs w:val="0"/>
                          <w:szCs w:val="21"/>
                          <w:lang w:val="en-US" w:eastAsia="zh-CN"/>
                        </w:rPr>
                        <w:t>受托人</w:t>
                      </w:r>
                      <w:r>
                        <w:rPr>
                          <w:rFonts w:hint="eastAsia" w:hAnsi="宋体"/>
                          <w:b w:val="0"/>
                          <w:bCs w:val="0"/>
                          <w:szCs w:val="21"/>
                        </w:rPr>
                        <w:t>身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</w:rPr>
                        <w:t>份证正面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  <w:lang w:val="en-US" w:eastAsia="zh-CN"/>
                        </w:rPr>
                        <w:t>和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</w:rPr>
                        <w:t>反面</w:t>
                      </w:r>
                      <w:r>
                        <w:rPr>
                          <w:rFonts w:hint="eastAsia" w:hAnsi="宋体"/>
                          <w:b w:val="0"/>
                          <w:bCs w:val="0"/>
                          <w:szCs w:val="21"/>
                        </w:rPr>
                        <w:t>复印件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4"/>
        <w:keepNext/>
        <w:keepLines/>
        <w:pageBreakBefore w:val="0"/>
        <w:widowControl w:val="0"/>
        <w:tabs>
          <w:tab w:val="center" w:pos="4450"/>
          <w:tab w:val="left" w:pos="6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jc w:val="center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无围标、串标行为</w:t>
      </w:r>
      <w:r>
        <w:rPr>
          <w:rFonts w:hint="eastAsia" w:ascii="宋体" w:hAnsi="宋体" w:eastAsia="宋体" w:cs="宋体"/>
          <w:lang w:eastAsia="zh-CN"/>
        </w:rPr>
        <w:t>声明函</w:t>
      </w:r>
    </w:p>
    <w:p>
      <w:pPr>
        <w:rPr>
          <w:rFonts w:hint="eastAsia" w:ascii="宋体" w:hAnsi="宋体" w:eastAsia="宋体" w:cs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本公司郑重</w:t>
      </w:r>
      <w:r>
        <w:rPr>
          <w:rFonts w:hint="eastAsia" w:ascii="宋体" w:hAnsi="宋体" w:eastAsia="宋体" w:cs="宋体"/>
          <w:sz w:val="24"/>
          <w:lang w:eastAsia="zh-CN"/>
        </w:rPr>
        <w:t>声明</w:t>
      </w:r>
      <w:r>
        <w:rPr>
          <w:rFonts w:hint="eastAsia" w:ascii="宋体" w:hAnsi="宋体" w:eastAsia="宋体" w:cs="宋体"/>
          <w:sz w:val="24"/>
        </w:rPr>
        <w:t>本公司在参加本次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中山市小榄人民医院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前列腺等离子电切镜、输尿管镜异物钳 </w:t>
      </w:r>
      <w:r>
        <w:rPr>
          <w:rFonts w:hint="eastAsia" w:ascii="宋体" w:hAnsi="宋体" w:cs="宋体"/>
          <w:sz w:val="24"/>
          <w:u w:val="none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项目</w:t>
      </w:r>
      <w:r>
        <w:rPr>
          <w:rFonts w:hint="eastAsia" w:ascii="宋体" w:hAnsi="宋体" w:eastAsia="宋体" w:cs="宋体"/>
          <w:sz w:val="24"/>
        </w:rPr>
        <w:t>采购活动中，无以下围标、串标行为。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由同一单位或者个人编制；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不同供应商委托同一单位或者个人办理响应事宜；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载明的项目管理成员或者联系人员为同一人；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异常一致或者响应报价呈规律性差异；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相互混装；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不同供应商的董事、监事、高管、单位负责人为同一人或者存在控股、管理关系的不同单位参加同一包组项目；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法律法规界定的其他围标串标行为。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如有发现我公司存在围标、串标行为，我公司愿承担一切法律责任。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</w:t>
      </w:r>
      <w:r>
        <w:rPr>
          <w:rFonts w:hint="eastAsia" w:ascii="宋体" w:hAnsi="宋体" w:eastAsia="宋体" w:cs="宋体"/>
          <w:sz w:val="24"/>
          <w:lang w:eastAsia="zh-CN"/>
        </w:rPr>
        <w:t>声明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before="156" w:beforeLines="50" w:after="156" w:afterLines="5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  <w:vertAlign w:val="baseline"/>
        </w:rPr>
      </w:pPr>
      <w:r>
        <w:rPr>
          <w:rFonts w:hint="eastAsia" w:ascii="宋体" w:hAnsi="宋体" w:eastAsia="宋体" w:cs="宋体"/>
          <w:sz w:val="24"/>
        </w:rPr>
        <w:t xml:space="preserve">                    </w:t>
      </w:r>
    </w:p>
    <w:p>
      <w:pPr>
        <w:spacing w:before="156" w:beforeLines="50" w:after="156" w:afterLines="50" w:line="360" w:lineRule="auto"/>
        <w:rPr>
          <w:rFonts w:hint="eastAsia"/>
        </w:rPr>
      </w:pPr>
      <w:r>
        <w:rPr>
          <w:rFonts w:hint="eastAsia" w:ascii="宋体" w:hAnsi="宋体" w:eastAsia="宋体" w:cs="宋体"/>
          <w:sz w:val="24"/>
        </w:rPr>
        <w:t>供应商名称（加盖公章）：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法定代表人或其委托人签字：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</w:rPr>
        <w:t xml:space="preserve"> 年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资料包括：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（1）报价单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（2）偏离表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（3）法定代表人证明书及其授权委托书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单位负责人为同一人或者存在直接控股、管理关系的不同报价人，不得参加同一合同项下的谈判活动，供应商在参与本次谈判活动中未有围标、串标行为。并出具《无围标、串标行为承诺书》（加盖公章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（5）厂家资质证件（包括但不限于营业执照、医疗器械生产许可证等）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（6）各级经销商资质证件（包括但不限于营业执照、医疗器械经营许可证、备案等）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（7）产品医疗器械注册证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（8）售后服务承诺函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（9）产品配置清单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（10）产品彩页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（11）近三年广东地区三甲医院客户名单（销售合同）等。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(1)以上文件均需盖公章。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(2)供应商需与法人代表（或法定代表人授权委托人）一致。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(3)预审通过后，采购人以电子邮件方式通知供应商进入下一阶段流程。</w:t>
      </w: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3B281"/>
    <w:multiLevelType w:val="singleLevel"/>
    <w:tmpl w:val="A2B3B281"/>
    <w:lvl w:ilvl="0" w:tentative="0">
      <w:start w:val="1"/>
      <w:numFmt w:val="decimal"/>
      <w:suff w:val="nothing"/>
      <w:lvlText w:val="（%1）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1">
    <w:nsid w:val="B3C7ADBE"/>
    <w:multiLevelType w:val="singleLevel"/>
    <w:tmpl w:val="B3C7ADBE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DA5B547"/>
    <w:multiLevelType w:val="singleLevel"/>
    <w:tmpl w:val="EDA5B54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FBCC3122"/>
    <w:multiLevelType w:val="singleLevel"/>
    <w:tmpl w:val="FBCC31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C69D465"/>
    <w:multiLevelType w:val="singleLevel"/>
    <w:tmpl w:val="0C69D46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1E7E8738"/>
    <w:multiLevelType w:val="singleLevel"/>
    <w:tmpl w:val="1E7E87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1EACC89E"/>
    <w:multiLevelType w:val="singleLevel"/>
    <w:tmpl w:val="1EACC89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37DAE8FC"/>
    <w:multiLevelType w:val="singleLevel"/>
    <w:tmpl w:val="37DAE8FC"/>
    <w:lvl w:ilvl="0" w:tentative="0">
      <w:start w:val="1"/>
      <w:numFmt w:val="decimal"/>
      <w:suff w:val="space"/>
      <w:lvlText w:val="2.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abstractNum w:abstractNumId="8">
    <w:nsid w:val="3CC1C2D7"/>
    <w:multiLevelType w:val="singleLevel"/>
    <w:tmpl w:val="3CC1C2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DDA7DA9"/>
    <w:multiLevelType w:val="singleLevel"/>
    <w:tmpl w:val="4DDA7DA9"/>
    <w:lvl w:ilvl="0" w:tentative="0">
      <w:start w:val="1"/>
      <w:numFmt w:val="decimal"/>
      <w:lvlText w:val="3.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0">
    <w:nsid w:val="6FEF5E58"/>
    <w:multiLevelType w:val="singleLevel"/>
    <w:tmpl w:val="6FEF5E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72E2BE85"/>
    <w:multiLevelType w:val="singleLevel"/>
    <w:tmpl w:val="72E2BE85"/>
    <w:lvl w:ilvl="0" w:tentative="0">
      <w:start w:val="1"/>
      <w:numFmt w:val="decimal"/>
      <w:lvlText w:val="6.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109F4"/>
    <w:rsid w:val="017A03BD"/>
    <w:rsid w:val="04F95742"/>
    <w:rsid w:val="0C647663"/>
    <w:rsid w:val="0CAA4F82"/>
    <w:rsid w:val="0CBD4786"/>
    <w:rsid w:val="10EF00F3"/>
    <w:rsid w:val="12251A76"/>
    <w:rsid w:val="15672590"/>
    <w:rsid w:val="172D156F"/>
    <w:rsid w:val="18E44580"/>
    <w:rsid w:val="18E706A9"/>
    <w:rsid w:val="1A475CB0"/>
    <w:rsid w:val="1B394FE3"/>
    <w:rsid w:val="1B626DED"/>
    <w:rsid w:val="1B7109F4"/>
    <w:rsid w:val="20DC30D9"/>
    <w:rsid w:val="26415CA9"/>
    <w:rsid w:val="2751016E"/>
    <w:rsid w:val="2DD56DC9"/>
    <w:rsid w:val="2F5510CD"/>
    <w:rsid w:val="31566D84"/>
    <w:rsid w:val="33697E65"/>
    <w:rsid w:val="347418D4"/>
    <w:rsid w:val="36C758BB"/>
    <w:rsid w:val="37D72D85"/>
    <w:rsid w:val="38C029F2"/>
    <w:rsid w:val="3B417724"/>
    <w:rsid w:val="3D6217FA"/>
    <w:rsid w:val="3DAC0808"/>
    <w:rsid w:val="43CE77D7"/>
    <w:rsid w:val="446C767A"/>
    <w:rsid w:val="47BF5C91"/>
    <w:rsid w:val="47EF67CA"/>
    <w:rsid w:val="4AC41010"/>
    <w:rsid w:val="4C7D50DD"/>
    <w:rsid w:val="4DD87D99"/>
    <w:rsid w:val="505712E6"/>
    <w:rsid w:val="521B64CE"/>
    <w:rsid w:val="575360F3"/>
    <w:rsid w:val="582C4A60"/>
    <w:rsid w:val="5FD924D3"/>
    <w:rsid w:val="6499204D"/>
    <w:rsid w:val="66FB5425"/>
    <w:rsid w:val="6FFA2883"/>
    <w:rsid w:val="708B2081"/>
    <w:rsid w:val="714552F4"/>
    <w:rsid w:val="723810AB"/>
    <w:rsid w:val="7737049B"/>
    <w:rsid w:val="77632F33"/>
    <w:rsid w:val="7BB64C58"/>
    <w:rsid w:val="7E23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5">
    <w:name w:val="Body Text"/>
    <w:basedOn w:val="1"/>
    <w:next w:val="6"/>
    <w:qFormat/>
    <w:uiPriority w:val="0"/>
    <w:pPr>
      <w:spacing w:line="360" w:lineRule="auto"/>
    </w:pPr>
    <w:rPr>
      <w:szCs w:val="20"/>
    </w:rPr>
  </w:style>
  <w:style w:type="paragraph" w:styleId="6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39"/>
    <w:pPr>
      <w:tabs>
        <w:tab w:val="right" w:leader="dot" w:pos="9540"/>
      </w:tabs>
      <w:spacing w:line="360" w:lineRule="auto"/>
      <w:ind w:right="430" w:rightChars="205"/>
    </w:pPr>
    <w:rPr>
      <w:rFonts w:ascii="宋体" w:hAnsi="宋体"/>
      <w:b/>
      <w:kern w:val="0"/>
      <w:sz w:val="28"/>
      <w:szCs w:val="28"/>
    </w:rPr>
  </w:style>
  <w:style w:type="paragraph" w:styleId="11">
    <w:name w:val="Subtitle"/>
    <w:basedOn w:val="1"/>
    <w:next w:val="1"/>
    <w:qFormat/>
    <w:uiPriority w:val="0"/>
    <w:pPr>
      <w:adjustRightInd w:val="0"/>
      <w:spacing w:before="760" w:beforeLines="0" w:after="280" w:afterLines="0"/>
      <w:jc w:val="left"/>
      <w:textAlignment w:val="baseline"/>
    </w:pPr>
    <w:rPr>
      <w:rFonts w:ascii="Arial" w:hAnsi="Arial" w:eastAsia="黑体"/>
      <w:spacing w:val="40"/>
      <w:kern w:val="0"/>
      <w:sz w:val="30"/>
      <w:szCs w:val="20"/>
      <w:u w:val="single"/>
    </w:rPr>
  </w:style>
  <w:style w:type="paragraph" w:styleId="12">
    <w:name w:val="Body Text Indent 3"/>
    <w:basedOn w:val="1"/>
    <w:qFormat/>
    <w:uiPriority w:val="0"/>
    <w:pPr>
      <w:spacing w:after="120"/>
      <w:ind w:left="420"/>
    </w:pPr>
    <w:rPr>
      <w:sz w:val="16"/>
      <w:szCs w:val="16"/>
    </w:rPr>
  </w:style>
  <w:style w:type="paragraph" w:styleId="1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4">
    <w:name w:val="Body Text First Indent"/>
    <w:basedOn w:val="5"/>
    <w:next w:val="1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6">
    <w:name w:val="Table Grid"/>
    <w:basedOn w:val="1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rFonts w:ascii="Tahoma" w:hAnsi="Tahoma" w:eastAsia="宋体"/>
      <w:b/>
      <w:bCs/>
      <w:spacing w:val="10"/>
      <w:sz w:val="24"/>
      <w:lang w:val="en-US" w:eastAsia="zh-CN" w:bidi="ar-SA"/>
    </w:rPr>
  </w:style>
  <w:style w:type="character" w:styleId="19">
    <w:name w:val="Hyperlink"/>
    <w:basedOn w:val="17"/>
    <w:qFormat/>
    <w:uiPriority w:val="99"/>
    <w:rPr>
      <w:color w:val="0000FF"/>
      <w:u w:val="single"/>
    </w:rPr>
  </w:style>
  <w:style w:type="paragraph" w:customStyle="1" w:styleId="2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21">
    <w:name w:val="NormalCharacter"/>
    <w:qFormat/>
    <w:uiPriority w:val="0"/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3e60ae3-7a8d-4af9-b237-b2ec2688e4c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e60ae3-7a8d-4af9-b237-b2ec2688e4c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b6986d5-d4c7-4efd-b5f1-7fa913a231d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6986d5-d4c7-4efd-b5f1-7fa913a231d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0f722e0-8df3-41a8-a0cb-fc645b1ad8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f722e0-8df3-41a8-a0cb-fc645b1ad85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74c8499-bb23-40ff-a681-38061e3be90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4c8499-bb23-40ff-a681-38061e3be90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6672</Words>
  <Characters>7051</Characters>
  <Lines>0</Lines>
  <Paragraphs>0</Paragraphs>
  <TotalTime>3</TotalTime>
  <ScaleCrop>false</ScaleCrop>
  <LinksUpToDate>false</LinksUpToDate>
  <CharactersWithSpaces>7409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2021-11-11T07:47:00Z</dcterms:created>
  <dc:creator>Administrator</dc:creator>
  <cp:lastModifiedBy>Administrator</cp:lastModifiedBy>
  <cp:lastPrinted>2021-11-22T10:50:00Z</cp:lastPrinted>
  <dcterms:modified xsi:type="dcterms:W3CDTF">2022-04-24T08:17:09Z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CFCEFDF45B7349B68C199B7E739FFA11</vt:lpwstr>
  </property>
</Properties>
</file>