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谈 判 文 件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高频电刀</w:t>
      </w: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tabs>
          <w:tab w:val="left" w:pos="0"/>
          <w:tab w:val="left" w:pos="426"/>
        </w:tabs>
        <w:wordWrap w:val="0"/>
        <w:spacing w:line="360" w:lineRule="auto"/>
        <w:ind w:firstLine="723" w:firstLineChars="20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月</w:t>
      </w:r>
    </w:p>
    <w:p>
      <w:pPr>
        <w:rPr>
          <w:rFonts w:hint="eastAsia"/>
          <w:lang w:eastAsia="zh-CN"/>
        </w:rPr>
      </w:pPr>
    </w:p>
    <w:p>
      <w:pPr>
        <w:pStyle w:val="6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7487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bookmarkStart w:id="0" w:name="_Toc17594_WPSOffice_Type1"/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录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23e60ae3-7a8d-4af9-b237-b2ec2688e4c8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第一部分 谈判邀请函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2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fb6986d5-d4c7-4efd-b5f1-7fa913a231d0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第二部分 采购需求书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6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90f722e0-8df3-41a8-a0cb-fc645b1ad85b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第三部分 评分标准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11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374c8499-bb23-40ff-a681-38061e3be905}"/>
              </w:placeholder>
              <w15:color w:val="509DF3"/>
            </w:sdtPr>
            <w:sdtEndP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第四部分 报价文件格式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14</w:t>
          </w:r>
        </w:p>
        <w:bookmarkEnd w:id="0"/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</w:p>
      </w:sdtContent>
    </w:sdt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  <w:bookmarkStart w:id="1" w:name="_Toc26272340"/>
      <w:bookmarkStart w:id="2" w:name="_Toc25203"/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1"/>
        </w:num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</w:t>
      </w:r>
      <w:bookmarkEnd w:id="1"/>
      <w:r>
        <w:rPr>
          <w:rFonts w:hint="eastAsia"/>
          <w:color w:val="auto"/>
          <w:highlight w:val="none"/>
          <w:lang w:eastAsia="zh-CN"/>
        </w:rPr>
        <w:t>谈判邀请函</w:t>
      </w:r>
      <w:bookmarkEnd w:id="2"/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  <w:t>谈判邀请函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项目基本情况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采购方式：院内谈判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综合评审最优法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采购需求：</w:t>
      </w:r>
    </w:p>
    <w:tbl>
      <w:tblPr>
        <w:tblStyle w:val="1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504"/>
        <w:gridCol w:w="207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11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0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7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预算金额</w:t>
            </w:r>
          </w:p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84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0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高频电刀</w:t>
            </w:r>
          </w:p>
        </w:tc>
        <w:tc>
          <w:tcPr>
            <w:tcW w:w="207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280000.00</w:t>
            </w:r>
          </w:p>
        </w:tc>
        <w:tc>
          <w:tcPr>
            <w:tcW w:w="284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采购清单、技术参数详细见附件《谈判文件》</w:t>
            </w:r>
          </w:p>
        </w:tc>
      </w:tr>
    </w:tbl>
    <w:p>
      <w:pPr>
        <w:pStyle w:val="13"/>
        <w:widowControl/>
        <w:numPr>
          <w:ilvl w:val="0"/>
          <w:numId w:val="2"/>
        </w:numPr>
        <w:spacing w:beforeAutospacing="0" w:afterAutospacing="0" w:line="360" w:lineRule="auto"/>
        <w:ind w:firstLine="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供应商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的资格要求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具有合法的法人资格，并在法律、财务上与项目经办人不存在关联关系；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报价设备或服务须在其法定营业范围内；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提供有效的三证合一的营业执照、医疗器械经营许可证的副本原件；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单位负责人为同一人或者存在直接控股、管理关系的不同投标人；不得参加同一合同项下的谈判活动。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提供偏离情况响应表，必须完全满足带"★"号条款中要求。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递交报价文件截止时间、递交方式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:00（北京时间）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报价文件递交份数：6份（1份正本、5份副本）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报价文件递交方式（以下方式均可）：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电子邮件：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instrText xml:space="preserve"> HYPERLINK "mailto:XXXXX@XXX.com"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separate"/>
      </w:r>
      <w:r>
        <w:rPr>
          <w:rStyle w:val="1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t>yxzb3959@126.com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文件邮寄：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收件人：林小姐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收件电话：0760-88662120-1626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收件地址：中山市小榄镇菊城大道中65号（小榄人民医院医学装备科）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Style w:val="18"/>
          <w:rFonts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现场递交：中山市小榄人民医院内科大楼九楼医学装备管理科。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公告期限</w:t>
      </w:r>
    </w:p>
    <w:p>
      <w:pPr>
        <w:pStyle w:val="13"/>
        <w:widowControl/>
        <w:shd w:val="clear" w:color="auto" w:fill="FFFFFF"/>
        <w:spacing w:beforeAutospacing="0" w:afterAutospacing="0" w:line="360" w:lineRule="auto"/>
        <w:ind w:firstLine="420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自本公告发布之日起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个工作日。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要求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报名时请各供应商按照以下要求提供完整的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偏离表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法定代表人证明书及其授权委托书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厂家资质证件（包括但不限于营业执照、医疗器械生产许可证等）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各级经销商资质证件（包括但不限于营业执照、医疗器械经营许可证、备案等）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产品医疗器械注册证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售后服务承诺函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产品配置清单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产品彩页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近三年广东地区三甲医院客户名单（销售合同）等。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注：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以上文件均需盖公章。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供应商需与法人代表（或法定代表人授权委托人）一致。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预审通过后，采购人以电子邮件方式通知供应商进入下一阶段流程。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如现场提供资料与电子资料存在不一致，以纸质盖章资料为准。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本项目不接受联合体响应。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递交报价文件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截止前，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需提供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完整的报价文件供采购人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，资料不全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或不通过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报名无效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监督部门联系方式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联系人：曾老师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联系电话：0760-88662120-1621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中山市小榄镇菊城大道中65号内科大楼九楼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中山市小榄人民医院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2022年4月24日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bookmarkStart w:id="5" w:name="_GoBack"/>
      <w:bookmarkEnd w:id="5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  <w:lang w:eastAsia="zh-CN"/>
        </w:rPr>
      </w:pPr>
      <w:bookmarkStart w:id="3" w:name="_Toc26272341"/>
      <w:bookmarkStart w:id="4" w:name="_Toc14672"/>
      <w:r>
        <w:rPr>
          <w:rFonts w:hint="eastAsia"/>
          <w:color w:val="auto"/>
          <w:highlight w:val="none"/>
        </w:rPr>
        <w:t>第二部分　</w:t>
      </w:r>
      <w:bookmarkEnd w:id="3"/>
      <w:r>
        <w:rPr>
          <w:rFonts w:hint="eastAsia"/>
          <w:color w:val="auto"/>
          <w:highlight w:val="none"/>
          <w:lang w:eastAsia="zh-CN"/>
        </w:rPr>
        <w:t>采购需求书</w:t>
      </w:r>
      <w:bookmarkEnd w:id="4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采购需求书</w:t>
      </w: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报价应包括标的设备（原装、全新合格的设备）、相关附件、配套设施、税费、运费、保险费、仓储费、安装调试、培训、质保等的全部费用，在项目实施过程中出现报价内容的任何遗漏，均由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负责相关费用，采购人将不再支付任何费用。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中凡有“★”标识的内容条款为关键条款，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必须对此作出回答并完全满足这些要求不可以出现任何负偏离，对这些关键条款的任何负偏离将视为无效投标。加注“▲”的内容为重点评标项目，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必须对该标识项目按照要求进行真实应答描述。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3.本项目不接受联合体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不得以任何方式转包本项目。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4.单位负责人为同一人或者存在直接控股、关联关系的不同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，不得参加同一合同项下的招标活动。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★投标供应商应该符合《医疗器械监督管理条例》规定，如投标供应商为生产厂家，还应该符合《医疗器械生产质量管理规范》规定，如投标供应商为还应符合《医疗器械经营质量管理规范》规定，并结合本项目特性提供有效的医疗器械产品注册/备案证明材料和投标供应商的经营许可/备案证明材料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6.本文的“质保期”是指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标的物经约定的验收机构完成验收之日起算，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承诺的期限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基本需求</w:t>
      </w:r>
    </w:p>
    <w:tbl>
      <w:tblPr>
        <w:tblStyle w:val="16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8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数量（套）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高频电刀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280000.00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用途：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直接切除皮肤表面的疤痕，囊肿物，由各种皮肤炎症引起的玫瑰痤疮，酒糟鼻等，也广泛用于面部的各种精细的整形手术的精准治疗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9"/>
        </w:numPr>
        <w:spacing w:before="157" w:beforeLines="50"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电刀的输出频率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1.23Mhz,为射频输出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2.输出模式及输出频率: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纯切模式:输出功率80W. 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混切模式:输出功率70W. 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接触电凝:输出功率70W. 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④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喷射电凝:输出功率60W. 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⑤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双极电凝:输出功率70W.                 </w:t>
      </w:r>
    </w:p>
    <w:p>
      <w:pPr>
        <w:spacing w:line="440" w:lineRule="exact"/>
        <w:ind w:firstLine="960" w:firstLineChars="4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输出频率：1.23MHz。</w:t>
      </w:r>
    </w:p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3.智能变频设计：3种不同的输出频率，随不同手术模式自动切换。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纯切模式/混切模式   输出频率0.92Mhz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接触电凝            输出频率1.23Mhz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③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喷射电凝/双极电凝   输出频率0.46Mhz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4.autorf功能：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单级切割时，电脑会根据不同的组织结构实时测量组织电阻，自动调节RF输出，始终保持最佳的输出功率，减少不必要的组织损伤。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双极凝血时，输出功率随电凝程度和组织的干燥程度而减少，智能自动迅速降到最小值，即最初设定功率的1/4，并自动停止输出,有效防止组织脱水，结痂和疤痕的生成，避免过度电凝产生组织碳化、粘连。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5.不沾型双极电凝镊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镊尖是由特殊合金材料制造，具有极好的导热性能，防止热聚集和组织粘连。高强度的镊杆保证了电凝镊始终如一的张力，长电凝镊配有锁定装置，消除剪刀嘴，多种镊尖宽度及镊杆长度供选择适用于所有的外科手术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6.钨丝电极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超锋利针尖设计（钨针针尖直径≤0.2mm），可快速切割皮肤及各种组织，避免粘连在低功率下电弧尖端集中放点，瞬间完成中小型血管及毛细血管的封闭，大幅减少手术出血，减少手术并发症。</w:t>
      </w:r>
    </w:p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快速精准切割分离组织的同时，最大限度的保护周围组织。使术中渗出减少，极大改善手术愈合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7.双脚踏开关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医生可以独自完成切割、凝血模式的切换。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8.中性电极连续检测皮肤的接触情况,发现接触不良自动报警，且停止功率输出.电脑自动检测主机的各种功能,一旦有问题发生, 主机将自动报警。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配置要求：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753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高频电刀主机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一次性负极板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负极板连线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单极电极手柄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双脚踏开关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不沾型双极电凝镊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长度11cm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不沾型双极电凝镊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长度16cm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双极电缆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整形针状钨丝电极0.3mm直头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整形针状电极0.4mm直头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整形针状电极0.4mm弯头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整形针状电极0.5mm直头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整形片状电极2.5*20mm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可高温高压消毒灭菌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器械消毒盒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电源线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1条</w:t>
            </w:r>
          </w:p>
        </w:tc>
      </w:tr>
      <w:tr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相关资质/出厂检测报告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numPr>
          <w:ilvl w:val="0"/>
          <w:numId w:val="9"/>
        </w:numPr>
        <w:spacing w:before="157" w:beforeLines="50" w:line="360" w:lineRule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商务要求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1.交货及安装、验收要求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1.1交货地点：采购人指定地点。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1.2交货期：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应当在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成交通知书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发出之日起30日内按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确定的事项与采购人签订合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同，签订合同后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日内完成设备的安装调试。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须保证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后所提供的设备为原装、全新合格的产品。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1.5验收方式：按《小榄镇镇属医院医疗项目采购和验收管理规定》。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★1.6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须要在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做出具承诺函，该承诺函包括但不限于以下内容: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如项目成交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成交结果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公告发布之日起五个工作日内提供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所投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设备制造厂商开具并盖章的合法有效的授权函原件（盖鲜章）、售后服务承诺函原件（盖鲜章）。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2.售后服务要求</w:t>
      </w:r>
    </w:p>
    <w:p>
      <w:pPr>
        <w:tabs>
          <w:tab w:val="left" w:pos="420"/>
        </w:tabs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必须在中国境内有售后服务机构，并附有售后服务能力说明。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★2.2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须提供设备原厂质保（设备原厂质量保修范围和保修期）至少为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在售后期内，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在接到用户的维修通知，响应时间为半小时内，工程师到达现场时间为4小时内，排除故障时限为到达现场后8小时内。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如果产品故障在检修12小时后仍无法排除，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应在24小时内提供不低于故障产品规格型号档次的备用产品供采购人使用，直至故障产品修复。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3.付款方式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★3.1本合同的每笔款项以人民币转账方式支付，合同设备到采购人指定地点交付并完成安装，验收合格后，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凭：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（1）合同；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（2）验收调试合格报告（加盖采购人公章）；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开具的正式发票（加盖发票专用章）。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★3.2具体付款方式：合同签订后，采购人预付合同总金额的20%款项，同时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须提供相同金额的收款收据；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按合同协议时间提供设备，并经协议规定的验收机构书面确认验收合格后，开具全额发票，采购人确认发票无误后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内支付合同总金额的75%；合同总金额的5%在质保期满后一次性无息退还。</w:t>
      </w: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 xml:space="preserve">部分 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jc w:val="center"/>
        <w:rPr>
          <w:rFonts w:hint="eastAsia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分配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总分=技术商务评审+价格评审</w:t>
      </w:r>
    </w:p>
    <w:tbl>
      <w:tblPr>
        <w:tblStyle w:val="16"/>
        <w:tblpPr w:leftFromText="180" w:rightFromText="180" w:vertAnchor="text" w:horzAnchor="page" w:tblpX="1695" w:tblpY="32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价格评审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价格评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报价得分=（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基准价/最后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报价）×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报价得分四舍五入后，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小数点后保留两位有效数</w:t>
      </w:r>
    </w:p>
    <w:p>
      <w:pPr>
        <w:pStyle w:val="12"/>
        <w:spacing w:line="240" w:lineRule="auto"/>
        <w:ind w:left="0" w:leftChars="0"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依此计算出所有响应供应商的价格评分。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技术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评审：</w:t>
      </w: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5"/>
        <w:gridCol w:w="969"/>
        <w:gridCol w:w="504"/>
        <w:gridCol w:w="617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445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9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评分指标</w:t>
            </w:r>
          </w:p>
        </w:tc>
        <w:tc>
          <w:tcPr>
            <w:tcW w:w="504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178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评分范围</w:t>
            </w:r>
          </w:p>
        </w:tc>
        <w:tc>
          <w:tcPr>
            <w:tcW w:w="996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供应商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（...）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用户需求响应程度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根据投标文件对用户需求书中的条款（即非“★”号条款）响应程度进行评审，完全满足得30分。一项不满足（负偏离）扣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以“技术条款响应表”及应招标要求提供的相关证明材料作为评审依据。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设备技术支撑程度和可靠性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设备技术支撑程度和可靠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性（技术支撑程度、工作原理先进性，自动化程度、运行稳定性程度）进行评审。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优：所投设备技术可靠性强的，得10分；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良：所投设备技术可靠性较强的，得6分；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中：所投设备技术可靠性一般的，得3分；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差：所投设备的技术可靠性差的，得0分。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设备的拓展性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根据供应商所投设备的拓展性（功能是否齐全、能否完好的适应用户环境及需求）进行评审。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优：所投设备的拓展性好的，得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良：所投设备的拓展性较好的，得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中：所投设备的拓展性一般的，得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差：所投设备的拓展性差的，得0分。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设备操作的实用性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操作便利性、维修简易性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强的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较强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操作的实用性差的，得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商务响应情况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根据供应商的投标文件的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响应程度进行评审。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投标文件的响应符合用户需求书的商务要求，得5分；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投标文件部分响应用户需求书的商务要求，得2分；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投标文件的响应较差或无，得0分。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在用户需求质保期要求的基础上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延长1年，得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延长2年，得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延长3年，得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本项最高得分不超过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分。（延长的质保期须为原厂质保）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414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得分合计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ind w:firstLine="1767" w:firstLineChars="4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四</w:t>
      </w:r>
      <w:r>
        <w:rPr>
          <w:rFonts w:hint="eastAsia"/>
          <w:color w:val="auto"/>
          <w:highlight w:val="none"/>
        </w:rPr>
        <w:t>部分　</w:t>
      </w:r>
      <w:r>
        <w:rPr>
          <w:rFonts w:hint="eastAsia"/>
          <w:color w:val="auto"/>
          <w:highlight w:val="none"/>
          <w:lang w:val="en-US" w:eastAsia="zh-CN"/>
        </w:rPr>
        <w:t>报价文件格式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 w:eastAsia="宋体"/>
          <w:sz w:val="24"/>
          <w:szCs w:val="2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致中山市小榄人民医院：</w:t>
      </w:r>
    </w:p>
    <w:tbl>
      <w:tblPr>
        <w:tblStyle w:val="16"/>
        <w:tblpPr w:leftFromText="180" w:rightFromText="180" w:vertAnchor="text" w:horzAnchor="page" w:tblpX="1935" w:tblpY="39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设备型号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厂家/品牌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产地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数量（套）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总价（元）</w:t>
            </w:r>
          </w:p>
        </w:tc>
        <w:tc>
          <w:tcPr>
            <w:tcW w:w="595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参数偏离情况表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填写要求：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1、请按用户需求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逐条响应</w:t>
      </w:r>
      <w:r>
        <w:rPr>
          <w:rFonts w:hint="eastAsia" w:ascii="仿宋" w:hAnsi="仿宋" w:eastAsia="仿宋" w:cs="仿宋"/>
          <w:sz w:val="24"/>
          <w:szCs w:val="24"/>
        </w:rPr>
        <w:t>，正负偏离参数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备注说明。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、其中带★的参数是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必须完全响应</w:t>
      </w:r>
      <w:r>
        <w:rPr>
          <w:rFonts w:hint="eastAsia" w:ascii="仿宋" w:hAnsi="仿宋" w:eastAsia="仿宋" w:cs="仿宋"/>
          <w:sz w:val="24"/>
          <w:szCs w:val="24"/>
        </w:rPr>
        <w:t>的参数。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3、所投产品的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参数满足率≥90%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numPr>
          <w:ilvl w:val="0"/>
          <w:numId w:val="11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技术要求：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（请按用户需求里的技术要求及配置要求逐条响应）</w:t>
      </w:r>
    </w:p>
    <w:p>
      <w:pPr>
        <w:pStyle w:val="2"/>
        <w:rPr>
          <w:rFonts w:hint="eastAsia"/>
        </w:rPr>
      </w:pP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18"/>
        <w:gridCol w:w="4736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技术参数项目</w:t>
            </w: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8" w:type="dxa"/>
            <w:vMerge w:val="restart"/>
            <w:shd w:val="clear" w:color="000000" w:fill="FFFFFF"/>
            <w:noWrap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详细参数要求</w:t>
            </w:r>
          </w:p>
          <w:p>
            <w:pPr>
              <w:spacing w:line="360" w:lineRule="auto"/>
              <w:ind w:left="709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电刀的输出频率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1.23Mhz,为射频输出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2.输出模式及输出频率: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纯切模式:输出功率80W.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混切模式:输出功率70W.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接触电凝:输出功率70W.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喷射电凝:输出功率60W.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双极电凝:输出功率70W.                 </w:t>
            </w:r>
          </w:p>
          <w:p>
            <w:pPr>
              <w:tabs>
                <w:tab w:val="left" w:pos="420"/>
                <w:tab w:val="left" w:pos="720"/>
              </w:tabs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6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输出频率：1.23MHz。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3.智能变频设计：3种不同的输出频率，随不同手术模式自动切换。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纯切模式/混切模式   输出频率0.92Mhz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接触电凝            输出频率1.23Mhz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喷射电凝/双极电凝   输出频率0.46Mhz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4.autorf功能：</w:t>
            </w: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单级切割时，电脑会根据不同的组织结构实时测量组织电阻，自动调节RF输出，始终保持最佳的输出功率，减少不必要的组织损伤。</w:t>
            </w:r>
          </w:p>
          <w:p>
            <w:pPr>
              <w:tabs>
                <w:tab w:val="left" w:pos="0"/>
              </w:tabs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双极凝血时，输出功率随电凝程度和组织的干燥程度而减少，智能自动迅速降到最小值，即最初设定功率的1/4，并自动停止输出,有效防止组织脱水，结痂和疤痕的生成，避免过度电凝产生组织碳化、粘连。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5.不沾型双极电凝镊</w:t>
            </w:r>
          </w:p>
          <w:p>
            <w:pPr>
              <w:tabs>
                <w:tab w:val="left" w:pos="0"/>
              </w:tabs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镊尖是由特殊合金材料制造，具有极好的导热性能，防止热聚集和组织粘连。高强度的镊杆保证了电凝镊始终如一的张力，长电凝镊配有锁定装置，消除剪刀嘴，多种镊尖宽度及镊杆长度供选择适用于所有的外科手术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6.钨丝电极</w:t>
            </w: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超锋利针尖设计（钨针针尖直径≤0.2mm），可快速切割皮肤及各种组织，避免粘连在低功率下电弧尖端集中放点，瞬间完成中小型血管及毛细血管的封闭，大幅减少手术出血，减少手术并发症。</w:t>
            </w:r>
          </w:p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快速精准切割分离组织的同时，最大限度的保护周围组织。使术中渗出减少，极大改善手术愈合。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7.双脚踏开关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医生可以独自完成切割、凝血模式的切换。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8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8.中性电极连续检测皮肤的接触情况,发现接触不良自动报警，且停止功率输出.电脑自动检测主机的各种功能,一旦有问题发生, 主机将自动报警。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8" w:type="dxa"/>
            <w:shd w:val="clear" w:color="000000" w:fill="FFFFFF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配置清单要求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shd w:val="clear" w:color="000000" w:fill="FFFFFF"/>
            <w:noWrap/>
            <w:vAlign w:val="center"/>
          </w:tcPr>
          <w:tbl>
            <w:tblPr>
              <w:tblStyle w:val="15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6"/>
              <w:gridCol w:w="2913"/>
              <w:gridCol w:w="80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高频电刀主机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一次性负极板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20片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负极板连线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单极电极手柄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双脚踏开关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不沾型双极电凝镊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长度11cm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不沾型双极电凝镊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长度16cm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>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双极电缆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整形针状钨丝电极0.3mm直头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整形针状电极0.4mm直头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整形针状电极0.4mm弯头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整形针状电极0.5mm直头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整形片状电极2.5*20mm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可高温高压消毒灭菌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器械消毒盒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电源线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台车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7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17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360" w:lineRule="auto"/>
                    <w:jc w:val="center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相关资质/出厂检测报告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360" w:lineRule="auto"/>
                    <w:jc w:val="both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1套</w:t>
                  </w:r>
                </w:p>
              </w:tc>
            </w:tr>
          </w:tbl>
          <w:p>
            <w:pPr>
              <w:tabs>
                <w:tab w:val="left" w:pos="420"/>
                <w:tab w:val="left" w:pos="1089"/>
              </w:tabs>
              <w:spacing w:line="400" w:lineRule="exact"/>
              <w:ind w:left="42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1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商务要求：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（请按用户需求里的商务要求逐条响应）</w:t>
      </w: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pacing w:before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交货及安装、验收要求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1.1交货地点：采购人指定地点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1.2交货期：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应当在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成交通知书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发出之日起30日内按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磋商文件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确定的事项与采购人签订合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同，签订合同后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日内完成设备的安装调试。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须保证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后所提供的设备为原装、全新合格的产品。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1.5验收方式：按《小榄镇镇属医院医疗项目采购和验收管理规定》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★1.6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须要在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做出具承诺函，该承诺函包括但不限于以下内容: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如项目成交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成交结果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公告发布之日起五个工作日内提供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所投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设备制造厂商开具并盖章的合法有效的授权函原件（盖鲜章）、售后服务承诺函原件（盖鲜章）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售后服务要求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必须在中国境内有售后服务机构，并附有售后服务能力说明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★2.2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须提供设备原厂质保（设备原厂质量保修范围和保修期）至少为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在售后期内，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在接到用户的维修通知，响应时间为半小时内，工程师到达现场时间为4小时内，排除故障时限为到达现场后8小时内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如果产品故障在检修12小时后仍无法排除，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应在24小时内提供不低于故障产品规格型号档次的备用产品供采购人使用，直至故障产品修复。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★3.1本合同的每笔款项以人民币转账方式支付，合同设备到采购人指定地点交付并完成安装，验收合格后，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凭：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（1）合同；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（2）验收调试合格报告（加盖采购人公章）；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开具的正式发票（加盖发票专用章）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★3.2具体付款方式：合同签订后，采购人预付合同总金额的20%款项，同时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须提供相同金额的收款收据；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按合同协议时间提供设备，并经协议规定的验收机构书面确认验收合格后，开具全额发票，采购人确认发票无误后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内支付合同总金额的75%；合同总金额的5%在质保期满后一次性无息退还。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法定代表人证明书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</w:p>
    <w:p>
      <w:pPr>
        <w:spacing w:line="480" w:lineRule="exact"/>
        <w:ind w:firstLine="468" w:firstLineChars="1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姓名：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 性别：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年龄： </w:t>
      </w:r>
    </w:p>
    <w:p>
      <w:pPr>
        <w:spacing w:line="480" w:lineRule="exact"/>
        <w:ind w:firstLine="468" w:firstLineChars="19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职务：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特此证明！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日期：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48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518795</wp:posOffset>
                </wp:positionV>
                <wp:extent cx="5434965" cy="2601595"/>
                <wp:effectExtent l="4445" t="4445" r="8890" b="22860"/>
                <wp:wrapSquare wrapText="bothSides"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2601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（附法定代表人身份证正、反面）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pt;margin-top:40.85pt;height:204.85pt;width:427.95pt;mso-wrap-distance-bottom:0pt;mso-wrap-distance-left:9.05pt;mso-wrap-distance-right:9.05pt;mso-wrap-distance-top:0pt;z-index:251660288;mso-width-relative:page;mso-height-relative:page;" fillcolor="#FFFFFF" filled="t" stroked="t" coordsize="21600,21600" o:gfxdata="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2+vZ2AAAAAkBAAAPAAAAAAAAAAEAIAAAACIAAABkcnMvZG93bnJldi54bWxQSwEC&#10;FAAUAAAACACHTuJAH4EtKGYCAACs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（附法定代表人身份证正、反面）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ind w:left="0" w:leftChars="0" w:firstLine="0" w:firstLineChars="0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 xml:space="preserve">授权单位（盖章）：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（签名或盖私章）：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统一社会信用代码：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说明：1、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2、此处所述“法定代表人”，须与供应商“营业执照”上的内容一致。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 xml:space="preserve">      3、内容必须填写真实、清楚、涂改无效，不得转让、买卖。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4、将此证明书提交对方作为合同附件。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5、授权权限：全权代表本公司参与上述采购项目的报价，负责提供与签署确认一切文书资料，以及向贵方递交的任何补充承诺。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6、签字代表为法定代表人，则本表不适用。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7、身份证复印件或扫描件须在有效期内。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8、有效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期限：与本公司报价文件中标注的投标有效期相同，自本单位盖公章之日起生效。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inline distT="0" distB="0" distL="114935" distR="114935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受托人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身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份证正面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rvztUAAAAFAQAADwAAAAAAAAABACAAAAAiAAAAZHJzL2Rvd25yZXYueG1sUEsBAhQA&#10;FAAAAAgAh07iQLIEa4VnAgAArAQAAA4AAAAAAAAAAQAgAAAAJ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  <w:lang w:val="en-US" w:eastAsia="zh-CN"/>
                        </w:rPr>
                        <w:t>受托人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身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份证正面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反面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eepNext/>
        <w:keepLines/>
        <w:pageBreakBefore w:val="0"/>
        <w:widowControl w:val="0"/>
        <w:tabs>
          <w:tab w:val="center" w:pos="4450"/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无围标、串标行为</w:t>
      </w:r>
      <w:r>
        <w:rPr>
          <w:rFonts w:hint="eastAsia" w:ascii="宋体" w:hAnsi="宋体" w:eastAsia="宋体" w:cs="宋体"/>
          <w:lang w:eastAsia="zh-CN"/>
        </w:rPr>
        <w:t>声明函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本公司郑重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本公司在参加本次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中山市小榄人民医院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高频电刀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采购活动中，无以下围标、串标行为。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由同一单位或者个人编制；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不同供应商委托同一单位或者个人办理响应事宜；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载明的项目管理成员或者联系人员为同一人；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异常一致或者响应报价呈规律性差异；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相互混装；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法律法规界定的其他围标串标行为。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vertAlign w:val="baseline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资料包括：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（1）报价单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（2）偏离表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（3）法定代表人证明书及其授权委托书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（5）厂家资质证件（包括但不限于营业执照、医疗器械生产许可证等）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（6）各级经销商资质证件（包括但不限于营业执照、医疗器械经营许可证、备案等）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（7）产品医疗器械注册证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（8）售后服务承诺函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（9）产品配置清单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（10）产品彩页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（11）近三年广东地区三甲医院客户名单（销售合同）等。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(1)以上文件均需盖公章。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(2)供应商需与法人代表（或法定代表人授权委托人）一致。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(3)预审通过后，采购人以电子邮件方式通知供应商进入下一阶段流程。</w:t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3B281"/>
    <w:multiLevelType w:val="singleLevel"/>
    <w:tmpl w:val="A2B3B281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1">
    <w:nsid w:val="B3C7ADBE"/>
    <w:multiLevelType w:val="singleLevel"/>
    <w:tmpl w:val="B3C7ADB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DA5B547"/>
    <w:multiLevelType w:val="singleLevel"/>
    <w:tmpl w:val="EDA5B5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BCC3122"/>
    <w:multiLevelType w:val="singleLevel"/>
    <w:tmpl w:val="FBCC31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C69D465"/>
    <w:multiLevelType w:val="singleLevel"/>
    <w:tmpl w:val="0C69D4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EACC89E"/>
    <w:multiLevelType w:val="singleLevel"/>
    <w:tmpl w:val="1EACC8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7DAE8FC"/>
    <w:multiLevelType w:val="singleLevel"/>
    <w:tmpl w:val="37DAE8FC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8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DDA7DA9"/>
    <w:multiLevelType w:val="singleLevel"/>
    <w:tmpl w:val="4DDA7DA9"/>
    <w:lvl w:ilvl="0" w:tentative="0">
      <w:start w:val="1"/>
      <w:numFmt w:val="decimal"/>
      <w:lvlText w:val="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0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2E2BE85"/>
    <w:multiLevelType w:val="singleLevel"/>
    <w:tmpl w:val="72E2BE85"/>
    <w:lvl w:ilvl="0" w:tentative="0">
      <w:start w:val="1"/>
      <w:numFmt w:val="decimal"/>
      <w:lvlText w:val="6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09F4"/>
    <w:rsid w:val="017A03BD"/>
    <w:rsid w:val="04F95742"/>
    <w:rsid w:val="0C647663"/>
    <w:rsid w:val="0CAA4F82"/>
    <w:rsid w:val="0CBD4786"/>
    <w:rsid w:val="10EF00F3"/>
    <w:rsid w:val="12251A76"/>
    <w:rsid w:val="15672590"/>
    <w:rsid w:val="172D156F"/>
    <w:rsid w:val="18E44580"/>
    <w:rsid w:val="18E706A9"/>
    <w:rsid w:val="1A475CB0"/>
    <w:rsid w:val="1B394FE3"/>
    <w:rsid w:val="1B626DED"/>
    <w:rsid w:val="1B7109F4"/>
    <w:rsid w:val="20DC30D9"/>
    <w:rsid w:val="24EF4059"/>
    <w:rsid w:val="26415CA9"/>
    <w:rsid w:val="2751016E"/>
    <w:rsid w:val="2D1D058B"/>
    <w:rsid w:val="2DD56DC9"/>
    <w:rsid w:val="2F5510CD"/>
    <w:rsid w:val="31566D84"/>
    <w:rsid w:val="33697E65"/>
    <w:rsid w:val="347418D4"/>
    <w:rsid w:val="36C758BB"/>
    <w:rsid w:val="37D72D85"/>
    <w:rsid w:val="38C029F2"/>
    <w:rsid w:val="3B417724"/>
    <w:rsid w:val="3D6217FA"/>
    <w:rsid w:val="3DAC0808"/>
    <w:rsid w:val="41B17D2F"/>
    <w:rsid w:val="43CE77D7"/>
    <w:rsid w:val="45332E18"/>
    <w:rsid w:val="47BF5C91"/>
    <w:rsid w:val="47EF67CA"/>
    <w:rsid w:val="4AC41010"/>
    <w:rsid w:val="4C7D50DD"/>
    <w:rsid w:val="4DD87D99"/>
    <w:rsid w:val="505712E6"/>
    <w:rsid w:val="575360F3"/>
    <w:rsid w:val="582C4A60"/>
    <w:rsid w:val="5FD924D3"/>
    <w:rsid w:val="6499204D"/>
    <w:rsid w:val="66FB5425"/>
    <w:rsid w:val="6FFA2883"/>
    <w:rsid w:val="708B2081"/>
    <w:rsid w:val="714552F4"/>
    <w:rsid w:val="723810AB"/>
    <w:rsid w:val="7737049B"/>
    <w:rsid w:val="77632F33"/>
    <w:rsid w:val="7B4F58E7"/>
    <w:rsid w:val="7BB64C58"/>
    <w:rsid w:val="7E2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szCs w:val="20"/>
    </w:rPr>
  </w:style>
  <w:style w:type="paragraph" w:styleId="6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11">
    <w:name w:val="Subtitle"/>
    <w:basedOn w:val="1"/>
    <w:next w:val="1"/>
    <w:qFormat/>
    <w:uiPriority w:val="0"/>
    <w:pPr>
      <w:adjustRightInd w:val="0"/>
      <w:spacing w:before="760" w:beforeLines="0" w:after="280" w:afterLines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1">
    <w:name w:val="NormalCharacter"/>
    <w:qFormat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e60ae3-7a8d-4af9-b237-b2ec2688e4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60ae3-7a8d-4af9-b237-b2ec2688e4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6986d5-d4c7-4efd-b5f1-7fa913a23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986d5-d4c7-4efd-b5f1-7fa913a23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f722e0-8df3-41a8-a0cb-fc645b1ad8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f722e0-8df3-41a8-a0cb-fc645b1ad8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4c8499-bb23-40ff-a681-38061e3be9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c8499-bb23-40ff-a681-38061e3be9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7201</Words>
  <Characters>7604</Characters>
  <Lines>0</Lines>
  <Paragraphs>0</Paragraphs>
  <TotalTime>11</TotalTime>
  <ScaleCrop>false</ScaleCrop>
  <LinksUpToDate>false</LinksUpToDate>
  <CharactersWithSpaces>8032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2021-11-11T07:47:00Z</dcterms:created>
  <dc:creator>Administrator</dc:creator>
  <cp:lastModifiedBy>Administrator</cp:lastModifiedBy>
  <cp:lastPrinted>2021-11-22T10:50:00Z</cp:lastPrinted>
  <dcterms:modified xsi:type="dcterms:W3CDTF">2022-04-24T02:05:17Z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CFCEFDF45B7349B68C199B7E739FFA11</vt:lpwstr>
  </property>
</Properties>
</file>