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b/>
          <w:bCs/>
          <w:kern w:val="0"/>
          <w:sz w:val="24"/>
          <w:lang w:val="en-US" w:eastAsia="zh-CN"/>
        </w:rPr>
        <w:t>全自动洗板机1套采购需求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cs="FZZDXJW--GB1-0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b/>
          <w:bCs/>
          <w:kern w:val="0"/>
          <w:sz w:val="24"/>
          <w:lang w:val="en-US" w:eastAsia="zh-CN"/>
        </w:rPr>
        <w:t>一.技术参数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 w:cs="FZZDXJW--GB1-0"/>
          <w:b w:val="0"/>
          <w:bCs w:val="0"/>
          <w:kern w:val="0"/>
          <w:sz w:val="24"/>
        </w:rPr>
        <w:t>▲</w:t>
      </w:r>
      <w:r>
        <w:rPr>
          <w:rFonts w:hint="eastAsia" w:ascii="宋体" w:hAnsi="宋体" w:cs="FZZDXJW--GB1-0"/>
          <w:b w:val="0"/>
          <w:bCs w:val="0"/>
          <w:kern w:val="0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板型：适用9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孔/4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孔；可对平底，V型底，U型底酶标板进行洗涤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2.</w:t>
      </w:r>
      <w:r>
        <w:rPr>
          <w:rFonts w:hint="eastAsia" w:ascii="宋体" w:hAnsi="宋体" w:cs="FZZDXJW--GB1-0"/>
          <w:kern w:val="0"/>
          <w:sz w:val="24"/>
        </w:rPr>
        <w:t>通道数量：</w:t>
      </w:r>
      <w:r>
        <w:rPr>
          <w:rFonts w:ascii="宋体" w:hAnsi="宋体"/>
          <w:kern w:val="0"/>
          <w:sz w:val="24"/>
        </w:rPr>
        <w:t>≥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</w:rPr>
        <w:t>个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3.</w:t>
      </w:r>
      <w:r>
        <w:rPr>
          <w:rFonts w:hint="eastAsia" w:ascii="宋体" w:hAnsi="宋体" w:cs="FZZDXJW--GB1-0"/>
          <w:kern w:val="0"/>
          <w:sz w:val="24"/>
        </w:rPr>
        <w:t>洗板参数：自由调节</w:t>
      </w:r>
      <w:r>
        <w:rPr>
          <w:rFonts w:hint="eastAsia" w:ascii="宋体" w:hAnsi="宋体" w:cs="FZZDXJW--GB1-0"/>
          <w:kern w:val="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4.</w:t>
      </w:r>
      <w:r>
        <w:rPr>
          <w:rFonts w:hint="eastAsia" w:ascii="宋体" w:hAnsi="宋体" w:cs="FZZDXJW--GB1-0"/>
          <w:kern w:val="0"/>
          <w:sz w:val="24"/>
        </w:rPr>
        <w:t>清洗体积：</w:t>
      </w:r>
      <w:r>
        <w:rPr>
          <w:rFonts w:ascii="宋体" w:hAnsi="宋体" w:cs="FZZDXJW--GB1-0"/>
          <w:kern w:val="0"/>
          <w:sz w:val="24"/>
        </w:rPr>
        <w:t>50-600</w:t>
      </w:r>
      <w:r>
        <w:rPr>
          <w:rFonts w:hint="eastAsia" w:ascii="宋体" w:hAnsi="宋体" w:cs="ArialMT"/>
          <w:kern w:val="0"/>
          <w:sz w:val="24"/>
        </w:rPr>
        <w:t>μ</w:t>
      </w:r>
      <w:r>
        <w:rPr>
          <w:rFonts w:ascii="宋体" w:hAnsi="宋体" w:cs="FZZDXJW--GB1-0"/>
          <w:kern w:val="0"/>
          <w:sz w:val="24"/>
        </w:rPr>
        <w:t>l</w:t>
      </w:r>
      <w:r>
        <w:rPr>
          <w:rFonts w:hint="eastAsia" w:ascii="宋体" w:hAnsi="宋体" w:cs="FZZDXJW--GB1-0"/>
          <w:kern w:val="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5.</w:t>
      </w:r>
      <w:r>
        <w:rPr>
          <w:rFonts w:hint="eastAsia" w:ascii="宋体" w:hAnsi="宋体" w:cs="FZZDXJW--GB1-0"/>
          <w:kern w:val="0"/>
          <w:sz w:val="24"/>
          <w:lang w:eastAsia="zh-CN"/>
        </w:rPr>
        <w:t>洗板模式</w:t>
      </w:r>
      <w:r>
        <w:rPr>
          <w:rFonts w:hint="eastAsia" w:ascii="宋体" w:hAnsi="宋体" w:cs="FZZDXJW--GB1-0"/>
          <w:kern w:val="0"/>
          <w:sz w:val="24"/>
        </w:rPr>
        <w:t>：</w:t>
      </w:r>
      <w:r>
        <w:rPr>
          <w:rFonts w:hint="eastAsia" w:ascii="宋体" w:hAnsi="宋体" w:cs="FZZDXJW--GB1-0"/>
          <w:kern w:val="0"/>
          <w:sz w:val="24"/>
          <w:lang w:eastAsia="zh-CN"/>
        </w:rPr>
        <w:t>单板</w:t>
      </w:r>
      <w:r>
        <w:rPr>
          <w:rFonts w:hint="eastAsia" w:ascii="宋体" w:hAnsi="宋体" w:cs="FZZDXJW--GB1-0"/>
          <w:kern w:val="0"/>
          <w:sz w:val="24"/>
          <w:lang w:val="en-US" w:eastAsia="zh-CN"/>
        </w:rPr>
        <w:t>/双板。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6.</w:t>
      </w:r>
      <w:r>
        <w:rPr>
          <w:rFonts w:hint="eastAsia" w:ascii="宋体" w:hAnsi="宋体" w:cs="FZZDXJW--GB1-0"/>
          <w:kern w:val="0"/>
          <w:sz w:val="24"/>
          <w:lang w:eastAsia="zh-CN"/>
        </w:rPr>
        <w:t>清洗排数</w:t>
      </w:r>
      <w:r>
        <w:rPr>
          <w:rFonts w:hint="eastAsia" w:ascii="宋体" w:hAnsi="宋体" w:cs="FZZDXJW--GB1-0"/>
          <w:kern w:val="0"/>
          <w:sz w:val="24"/>
        </w:rPr>
        <w:t>：</w:t>
      </w:r>
      <w:r>
        <w:rPr>
          <w:rFonts w:hint="eastAsia" w:ascii="宋体" w:hAnsi="宋体" w:cs="FZZDXJW--GB1-0"/>
          <w:kern w:val="0"/>
          <w:sz w:val="24"/>
          <w:lang w:eastAsia="zh-CN"/>
        </w:rPr>
        <w:t>任意可选。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7.</w:t>
      </w:r>
      <w:r>
        <w:rPr>
          <w:rFonts w:hint="eastAsia" w:ascii="宋体" w:hAnsi="宋体" w:cs="FZZDXJW--GB1-0"/>
          <w:kern w:val="0"/>
          <w:sz w:val="24"/>
          <w:lang w:eastAsia="zh-CN"/>
        </w:rPr>
        <w:t>注</w:t>
      </w:r>
      <w:r>
        <w:rPr>
          <w:rFonts w:hint="eastAsia" w:ascii="宋体" w:hAnsi="宋体" w:cs="FZZDXJW--GB1-0"/>
          <w:kern w:val="0"/>
          <w:sz w:val="24"/>
        </w:rPr>
        <w:t>液量：</w:t>
      </w:r>
      <w:r>
        <w:rPr>
          <w:rFonts w:ascii="宋体" w:hAnsi="宋体" w:cs="FZZDXJW--GB1-0"/>
          <w:kern w:val="0"/>
          <w:sz w:val="24"/>
        </w:rPr>
        <w:t>50</w:t>
      </w:r>
      <w:r>
        <w:rPr>
          <w:rFonts w:hint="eastAsia" w:ascii="宋体" w:hAnsi="宋体" w:cs="FZZDXJW--GB1-0"/>
          <w:kern w:val="0"/>
          <w:sz w:val="24"/>
          <w:lang w:val="en-US" w:eastAsia="zh-CN"/>
        </w:rPr>
        <w:t>-</w:t>
      </w:r>
      <w:r>
        <w:rPr>
          <w:rFonts w:ascii="宋体" w:hAnsi="宋体" w:cs="FZZDXJW--GB1-0"/>
          <w:kern w:val="0"/>
          <w:sz w:val="24"/>
        </w:rPr>
        <w:t>400</w:t>
      </w:r>
      <w:r>
        <w:rPr>
          <w:rFonts w:hint="eastAsia" w:ascii="宋体" w:hAnsi="宋体" w:cs="ArialMT"/>
          <w:kern w:val="0"/>
          <w:sz w:val="24"/>
        </w:rPr>
        <w:t>μ</w:t>
      </w:r>
      <w:r>
        <w:rPr>
          <w:rFonts w:ascii="宋体" w:hAnsi="宋体" w:cs="FZZDXJW--GB1-0"/>
          <w:kern w:val="0"/>
          <w:sz w:val="24"/>
        </w:rPr>
        <w:t>l</w:t>
      </w:r>
      <w:r>
        <w:rPr>
          <w:rFonts w:hint="eastAsia" w:ascii="宋体" w:hAnsi="宋体" w:cs="FZZDXJW--GB1-0"/>
          <w:kern w:val="0"/>
          <w:sz w:val="24"/>
          <w:lang w:eastAsia="zh-CN"/>
        </w:rPr>
        <w:t>，以</w:t>
      </w:r>
      <w:r>
        <w:rPr>
          <w:rFonts w:hint="eastAsia" w:ascii="宋体" w:hAnsi="宋体" w:cs="FZZDXJW--GB1-0"/>
          <w:kern w:val="0"/>
          <w:sz w:val="24"/>
          <w:lang w:val="en-US" w:eastAsia="zh-CN"/>
        </w:rPr>
        <w:t>50</w:t>
      </w:r>
      <w:r>
        <w:rPr>
          <w:rFonts w:hint="eastAsia" w:ascii="宋体" w:hAnsi="宋体" w:cs="ArialMT"/>
          <w:kern w:val="0"/>
          <w:sz w:val="24"/>
        </w:rPr>
        <w:t>μ</w:t>
      </w:r>
      <w:r>
        <w:rPr>
          <w:rFonts w:ascii="宋体" w:hAnsi="宋体" w:cs="FZZDXJW--GB1-0"/>
          <w:kern w:val="0"/>
          <w:sz w:val="24"/>
        </w:rPr>
        <w:t>l</w:t>
      </w:r>
      <w:r>
        <w:rPr>
          <w:rFonts w:hint="eastAsia" w:ascii="宋体" w:hAnsi="宋体" w:cs="FZZDXJW--GB1-0"/>
          <w:kern w:val="0"/>
          <w:sz w:val="24"/>
          <w:lang w:eastAsia="zh-CN"/>
        </w:rPr>
        <w:t>步进。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8.</w:t>
      </w:r>
      <w:r>
        <w:rPr>
          <w:rFonts w:hint="eastAsia" w:ascii="宋体" w:hAnsi="宋体" w:cs="FZZDXJW--GB1-0"/>
          <w:kern w:val="0"/>
          <w:sz w:val="24"/>
        </w:rPr>
        <w:t>振荡器参数：多档速度可选</w:t>
      </w:r>
      <w:r>
        <w:rPr>
          <w:rFonts w:hint="eastAsia" w:ascii="宋体" w:hAnsi="宋体" w:cs="FZZDXJW--GB1-0"/>
          <w:kern w:val="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9.</w:t>
      </w:r>
      <w:r>
        <w:rPr>
          <w:rFonts w:hint="eastAsia" w:ascii="宋体" w:hAnsi="宋体" w:cs="FZZDXJW--GB1-0"/>
          <w:kern w:val="0"/>
          <w:sz w:val="24"/>
        </w:rPr>
        <w:t>残液量：≤</w:t>
      </w:r>
      <w:r>
        <w:rPr>
          <w:rFonts w:ascii="宋体" w:hAnsi="宋体" w:cs="FZZDXJW--GB1-0"/>
          <w:kern w:val="0"/>
          <w:sz w:val="24"/>
        </w:rPr>
        <w:t xml:space="preserve"> </w:t>
      </w:r>
      <w:r>
        <w:rPr>
          <w:rFonts w:hint="eastAsia" w:ascii="宋体" w:hAnsi="宋体" w:cs="FZZDXJW--GB1-0"/>
          <w:kern w:val="0"/>
          <w:sz w:val="24"/>
          <w:lang w:val="en-US" w:eastAsia="zh-CN"/>
        </w:rPr>
        <w:t>2</w:t>
      </w:r>
      <w:r>
        <w:rPr>
          <w:rFonts w:ascii="宋体" w:hAnsi="宋体" w:cs="FZZDXJW--GB1-0"/>
          <w:kern w:val="0"/>
          <w:sz w:val="24"/>
        </w:rPr>
        <w:t>.0</w:t>
      </w:r>
      <w:r>
        <w:rPr>
          <w:rFonts w:hint="eastAsia" w:ascii="宋体" w:hAnsi="宋体" w:cs="ArialMT"/>
          <w:kern w:val="0"/>
          <w:sz w:val="24"/>
        </w:rPr>
        <w:t>μ</w:t>
      </w:r>
      <w:r>
        <w:rPr>
          <w:rFonts w:ascii="宋体" w:hAnsi="宋体" w:cs="FZZDXJW--GB1-0"/>
          <w:kern w:val="0"/>
          <w:sz w:val="24"/>
        </w:rPr>
        <w:t>l</w:t>
      </w:r>
      <w:r>
        <w:rPr>
          <w:rFonts w:hint="eastAsia" w:ascii="宋体" w:hAnsi="宋体" w:cs="FZZDXJW--GB1-0"/>
          <w:kern w:val="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10.</w:t>
      </w:r>
      <w:r>
        <w:rPr>
          <w:rFonts w:hint="eastAsia" w:ascii="宋体" w:hAnsi="宋体"/>
          <w:sz w:val="24"/>
        </w:rPr>
        <w:t>操作语言：中文/英文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11.</w:t>
      </w:r>
      <w:r>
        <w:rPr>
          <w:rFonts w:hint="eastAsia" w:ascii="宋体" w:hAnsi="宋体"/>
          <w:sz w:val="24"/>
        </w:rPr>
        <w:t>操作程序：</w:t>
      </w:r>
      <w:r>
        <w:rPr>
          <w:rFonts w:hint="eastAsia" w:ascii="宋体" w:hAnsi="宋体" w:cs="FZZDXJW--GB1-0"/>
          <w:kern w:val="0"/>
          <w:sz w:val="24"/>
        </w:rPr>
        <w:t>操作简便，编程方便</w:t>
      </w:r>
      <w:r>
        <w:rPr>
          <w:rFonts w:hint="eastAsia" w:ascii="宋体" w:hAnsi="宋体" w:cs="FZZDXJW--GB1-0"/>
          <w:kern w:val="0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12.具有自动浸泡功能。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13.具有振荡功能。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14.有液位传感器。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15.有安全防尘罩。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/>
          <w:kern w:val="0"/>
          <w:sz w:val="24"/>
          <w:lang w:val="en-US"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16.待机状态能自动冲洗管路。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FZZDXJW--GB1-0" w:eastAsiaTheme="minorEastAsia"/>
          <w:kern w:val="0"/>
          <w:sz w:val="24"/>
          <w:lang w:eastAsia="zh-CN"/>
        </w:rPr>
      </w:pPr>
      <w:r>
        <w:rPr>
          <w:rFonts w:hint="eastAsia" w:ascii="宋体" w:hAnsi="宋体" w:cs="FZZDXJW--GB1-0"/>
          <w:kern w:val="0"/>
          <w:sz w:val="24"/>
          <w:lang w:val="en-US" w:eastAsia="zh-CN"/>
        </w:rPr>
        <w:t>17.具有USB端口。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 w:cs="FZZDXJW--GB1-0"/>
          <w:b w:val="0"/>
          <w:bCs w:val="0"/>
          <w:kern w:val="0"/>
          <w:sz w:val="24"/>
        </w:rPr>
        <w:t>▲</w:t>
      </w:r>
      <w:r>
        <w:rPr>
          <w:rFonts w:hint="eastAsia" w:ascii="宋体" w:hAnsi="宋体" w:cs="FZZDXJW--GB1-0"/>
          <w:b w:val="0"/>
          <w:bCs w:val="0"/>
          <w:kern w:val="0"/>
          <w:sz w:val="24"/>
          <w:lang w:val="en-US" w:eastAsia="zh-CN"/>
        </w:rPr>
        <w:t>18.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注液精度</w:t>
      </w:r>
      <w:r>
        <w:rPr>
          <w:rFonts w:hint="eastAsia" w:ascii="宋体" w:hAnsi="宋体"/>
          <w:color w:val="auto"/>
          <w:sz w:val="24"/>
        </w:rPr>
        <w:t>：≤3%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 w:cs="FZZDXJW--GB1-0"/>
          <w:b w:val="0"/>
          <w:bCs w:val="0"/>
          <w:kern w:val="0"/>
          <w:sz w:val="24"/>
        </w:rPr>
        <w:t>▲</w:t>
      </w:r>
      <w:r>
        <w:rPr>
          <w:rFonts w:hint="eastAsia" w:ascii="宋体" w:hAnsi="宋体" w:cs="FZZDXJW--GB1-0"/>
          <w:b w:val="0"/>
          <w:bCs w:val="0"/>
          <w:kern w:val="0"/>
          <w:sz w:val="24"/>
          <w:lang w:val="en-US" w:eastAsia="zh-CN"/>
        </w:rPr>
        <w:t>19.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注液一致性</w:t>
      </w:r>
      <w:r>
        <w:rPr>
          <w:rFonts w:hint="eastAsia" w:ascii="宋体" w:hAnsi="宋体"/>
          <w:color w:val="auto"/>
          <w:sz w:val="24"/>
        </w:rPr>
        <w:t>：CV≤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报警功能：</w:t>
      </w:r>
      <w:r>
        <w:rPr>
          <w:rFonts w:hint="eastAsia" w:ascii="宋体" w:hAnsi="宋体"/>
          <w:sz w:val="24"/>
        </w:rPr>
        <w:t>具有液面感应功能和故障自动报警功能，仪器的废液瓶满后会自动报警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highlight w:val="none"/>
        </w:rPr>
        <w:t>★</w:t>
      </w:r>
      <w:r>
        <w:rPr>
          <w:rFonts w:hint="eastAsia" w:ascii="宋体" w:hAnsi="宋体"/>
          <w:sz w:val="24"/>
          <w:lang w:val="en-US" w:eastAsia="zh-CN"/>
        </w:rPr>
        <w:t>21.</w:t>
      </w:r>
      <w:r>
        <w:rPr>
          <w:rFonts w:hint="eastAsia" w:ascii="宋体" w:hAnsi="宋体"/>
          <w:sz w:val="24"/>
        </w:rPr>
        <w:t>正版软件与操作系统，操作方便，能够自由编程</w:t>
      </w:r>
      <w:r>
        <w:rPr>
          <w:rFonts w:hint="eastAsia" w:ascii="宋体" w:hAnsi="宋体"/>
          <w:sz w:val="24"/>
          <w:lang w:eastAsia="zh-CN"/>
        </w:rPr>
        <w:t>，软件终身免费升级。</w:t>
      </w:r>
    </w:p>
    <w:p>
      <w:pPr>
        <w:pStyle w:val="2"/>
        <w:widowControl/>
        <w:tabs>
          <w:tab w:val="left" w:pos="993"/>
        </w:tabs>
        <w:spacing w:line="440" w:lineRule="exact"/>
        <w:ind w:firstLine="0" w:firstLineChars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22.其他要求：</w:t>
      </w:r>
    </w:p>
    <w:p>
      <w:pPr>
        <w:pStyle w:val="2"/>
        <w:widowControl/>
        <w:tabs>
          <w:tab w:val="left" w:pos="993"/>
        </w:tabs>
        <w:spacing w:line="440" w:lineRule="exac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★（1）提供标准R232数据接口，接口软件可与实验室信息管理系统LIS 系统实现双向通信，所需费用由成交供应商负责。提供工作电脑，并按实验室要求与医院现有LIS 系统连接，由成交供应商负责LIS 等连接的所有费用。若因仪器接入而需对医院现有LIS系统进行改造或升级，所产生的费用也由成交供应商负责。</w:t>
      </w:r>
    </w:p>
    <w:p>
      <w:pPr>
        <w:pStyle w:val="2"/>
        <w:widowControl/>
        <w:numPr>
          <w:ilvl w:val="0"/>
          <w:numId w:val="2"/>
        </w:numPr>
        <w:tabs>
          <w:tab w:val="left" w:pos="993"/>
        </w:tabs>
        <w:spacing w:line="440" w:lineRule="exac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其它参数至少满足仪器操作说明书要求。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每套设备配置要求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85"/>
        <w:gridCol w:w="3210"/>
        <w:gridCol w:w="66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1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洗板机</w:t>
            </w:r>
          </w:p>
        </w:tc>
        <w:tc>
          <w:tcPr>
            <w:tcW w:w="32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参数如上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软件系统</w:t>
            </w:r>
          </w:p>
        </w:tc>
        <w:tc>
          <w:tcPr>
            <w:tcW w:w="32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参数如上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32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提供纸质版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电子版仪器标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操作程序文件（SOP）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、操作卡等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洗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液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瓶</w:t>
            </w:r>
          </w:p>
        </w:tc>
        <w:tc>
          <w:tcPr>
            <w:tcW w:w="32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6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废液瓶</w:t>
            </w:r>
          </w:p>
        </w:tc>
        <w:tc>
          <w:tcPr>
            <w:tcW w:w="32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  <w:tc>
          <w:tcPr>
            <w:tcW w:w="8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适配电源线</w:t>
            </w:r>
          </w:p>
        </w:tc>
        <w:tc>
          <w:tcPr>
            <w:tcW w:w="32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符合仪器安装需求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若干</w:t>
            </w:r>
          </w:p>
        </w:tc>
        <w:tc>
          <w:tcPr>
            <w:tcW w:w="8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使用说明书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2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符合仪器使用需求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册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三、商务要求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1、交货及安装、验收要求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1.1交货地点：中山市小榄人民医院，设备到达采购人指定科室。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1.2交货期：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应当在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成交通知书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发出之日起30日内按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确定的事项与采购人签订合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同，签订合同后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日内完成设备的安装调试。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须保证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后所提供的设备为原装、全新合格的产品。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1.5验收方式：按《小榄镇镇属医院医疗项目采购和验收管理规定》。</w:t>
      </w:r>
    </w:p>
    <w:p>
      <w:pPr>
        <w:spacing w:beforeLines="0"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★1.6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须要在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做出具承诺函，该承诺函包括但不限于以下内容: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如项目成交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成交结果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公告发布之日起五个工作日内提供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设备制造厂商开具并盖章的合法有效的授权函原件（盖鲜章）、售后服务承诺函原件（盖鲜章）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2、售后服务要求</w:t>
      </w:r>
    </w:p>
    <w:p>
      <w:p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必须在中国境内有售后服务机构，并附有售后服务能力说明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★2.2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须提供设备原厂质保至少为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年。</w:t>
      </w:r>
    </w:p>
    <w:p>
      <w:p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▲2.3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须另外提供设备质保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年；在售后期内，中标人在接到用户的维修通知，响应时间为半小时内，工程师到达现场时间为4小时内，排除故障时限为到达现场后8小时内。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如果产品故障在检修12小时后仍无法排除，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应在24小时内提供不低于故障产品规格型号档次的备用产品供采购人使用，直至故障产品修复。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3、付款方式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★3.1本合同的每笔款项以人民币转账方式支付，合同设备到采购人指定地点交付并完成安装，验收合格后，中标单位凭：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（1）合同；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（2）验收调试合格报告（加盖采购人公章）；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（3）中标单位开具的正式发票，加盖发票专用章。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★3.2具体付款方式：</w:t>
      </w:r>
      <w:r>
        <w:rPr>
          <w:rFonts w:hint="eastAsia" w:ascii="宋体" w:hAnsi="宋体" w:eastAsia="宋体" w:cs="宋体"/>
          <w:sz w:val="24"/>
          <w:szCs w:val="24"/>
        </w:rPr>
        <w:t>合同签订后，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乙方按合同协议时间提供货物，并经协议规定的验收人员书面确认验收合格后，开具全额发票，甲方确认无误后一个月内支付合同总金额的95%的款项</w:t>
      </w:r>
      <w:r>
        <w:rPr>
          <w:rFonts w:hint="eastAsia" w:ascii="宋体" w:hAnsi="宋体" w:eastAsia="宋体" w:cs="宋体"/>
          <w:sz w:val="24"/>
          <w:szCs w:val="24"/>
        </w:rPr>
        <w:t>；合同总金额的5%的款项作为售后服务保证金，在质保期满后一次性无息退还。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报价单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致中山市小榄人民医院：</w:t>
      </w:r>
    </w:p>
    <w:tbl>
      <w:tblPr>
        <w:tblStyle w:val="7"/>
        <w:tblpPr w:leftFromText="180" w:rightFromText="180" w:vertAnchor="text" w:horzAnchor="page" w:tblpX="1935" w:tblpY="39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设备名称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设备型号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厂家/品牌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产地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质保期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数量（套）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报价时间：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参数偏离情况表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填写要求：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1、请按用户需求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要求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逐条响应</w:t>
      </w:r>
      <w:r>
        <w:rPr>
          <w:rFonts w:hint="eastAsia" w:ascii="仿宋" w:hAnsi="仿宋" w:eastAsia="仿宋" w:cs="仿宋"/>
          <w:sz w:val="24"/>
          <w:szCs w:val="24"/>
        </w:rPr>
        <w:t>，正负偏离参数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备注说明。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、其中带★的参数是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必须完全响应</w:t>
      </w:r>
      <w:r>
        <w:rPr>
          <w:rFonts w:hint="eastAsia" w:ascii="仿宋" w:hAnsi="仿宋" w:eastAsia="仿宋" w:cs="仿宋"/>
          <w:sz w:val="24"/>
          <w:szCs w:val="24"/>
        </w:rPr>
        <w:t>的参数。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3、所投产品的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参数满足率≥90%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技术要求：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（请按用户需求里的技术要求及配置要求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逐条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响应）</w:t>
      </w:r>
    </w:p>
    <w:p>
      <w:pPr>
        <w:pStyle w:val="2"/>
        <w:rPr>
          <w:rFonts w:hint="eastAsia"/>
        </w:rPr>
      </w:pPr>
    </w:p>
    <w:tbl>
      <w:tblPr>
        <w:tblStyle w:val="6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18"/>
        <w:gridCol w:w="4736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技术参数项目</w:t>
            </w: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vMerge w:val="restart"/>
            <w:shd w:val="clear" w:color="000000" w:fill="FFFFFF"/>
            <w:noWrap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详细参数要求</w:t>
            </w:r>
          </w:p>
          <w:p>
            <w:pPr>
              <w:spacing w:line="360" w:lineRule="auto"/>
              <w:ind w:left="709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板型：适用96孔/48孔；可对平底，V型底，U型底酶标板进行洗涤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通道数量：≥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洗板参数：自由调节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清洗体积：50-600μl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洗板模式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单板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/双板。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清洗排数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任意可选。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液量：50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400μl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μl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步进。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振荡器参数：多档速度可选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残液量：≤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.0μl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操作语言：中文/英文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操作程序：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操作简便，编程方便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12.具有自动浸泡功能。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13.具有振荡功能。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14.有液位传感器。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15.有安全防尘罩。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16.待机状态能自动冲洗管路。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17.具有USB端口。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注液精度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：≤3%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注液一致性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：CV≤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20.报警功能：</w:t>
            </w:r>
            <w:r>
              <w:rPr>
                <w:rFonts w:hint="eastAsia" w:ascii="仿宋" w:hAnsi="仿宋" w:eastAsia="仿宋" w:cs="仿宋"/>
                <w:sz w:val="24"/>
              </w:rPr>
              <w:t>具有液面感应功能和故障自动报警功能，仪器的废液瓶满后会自动报警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sz w:val="24"/>
              </w:rPr>
              <w:t>正版软件与操作系统，操作方便，能够自由编程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，软件终身免费升级。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pStyle w:val="2"/>
              <w:widowControl/>
              <w:tabs>
                <w:tab w:val="left" w:pos="993"/>
              </w:tabs>
              <w:spacing w:line="440" w:lineRule="exact"/>
              <w:ind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22.其他要求：</w:t>
            </w:r>
          </w:p>
          <w:p>
            <w:pPr>
              <w:pStyle w:val="2"/>
              <w:widowControl/>
              <w:tabs>
                <w:tab w:val="left" w:pos="993"/>
              </w:tabs>
              <w:spacing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★（1）提供标准R232数据接口，接口软件可与实验室信息管理系统LIS 系统实现双向通信，所需费用由成交供应商负责。提供工作电脑，并按实验室要求与医院现有LIS 系统连接，由成交供应商负责LIS 等连接的所有费用。若因仪器接入而需对医院现有LIS系统进行改造或升级，所产生的费用也由成交供应商负责。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tabs>
                <w:tab w:val="left" w:pos="993"/>
              </w:tabs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其它参数至少满足仪器操作说明书要求。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配置清单要求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993"/>
              <w:gridCol w:w="1811"/>
              <w:gridCol w:w="777"/>
              <w:gridCol w:w="5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  <w:jc w:val="center"/>
              </w:trPr>
              <w:tc>
                <w:tcPr>
                  <w:tcW w:w="488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993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名称</w:t>
                  </w:r>
                </w:p>
              </w:tc>
              <w:tc>
                <w:tcPr>
                  <w:tcW w:w="1811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要求</w:t>
                  </w:r>
                </w:p>
              </w:tc>
              <w:tc>
                <w:tcPr>
                  <w:tcW w:w="777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549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488" w:type="dxa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993" w:type="dxa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全自动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洗板机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参数如上</w:t>
                  </w:r>
                </w:p>
              </w:tc>
              <w:tc>
                <w:tcPr>
                  <w:tcW w:w="777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549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488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软件系统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参数如上</w:t>
                  </w:r>
                </w:p>
              </w:tc>
              <w:tc>
                <w:tcPr>
                  <w:tcW w:w="777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9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488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993" w:type="dxa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文件</w:t>
                  </w:r>
                </w:p>
              </w:tc>
              <w:tc>
                <w:tcPr>
                  <w:tcW w:w="1811" w:type="dxa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提供纸质版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电子版仪器标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准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操作程序文件（SOP）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、操作卡等</w:t>
                  </w:r>
                </w:p>
              </w:tc>
              <w:tc>
                <w:tcPr>
                  <w:tcW w:w="777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9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488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993" w:type="dxa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</w:rPr>
                    <w:t>洗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eastAsia="zh-CN"/>
                    </w:rPr>
                    <w:t>液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</w:rPr>
                    <w:t>瓶</w:t>
                  </w:r>
                </w:p>
              </w:tc>
              <w:tc>
                <w:tcPr>
                  <w:tcW w:w="1811" w:type="dxa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配套</w:t>
                  </w:r>
                </w:p>
              </w:tc>
              <w:tc>
                <w:tcPr>
                  <w:tcW w:w="777" w:type="dxa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≥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49" w:type="dxa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488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废液瓶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配套</w:t>
                  </w:r>
                </w:p>
              </w:tc>
              <w:tc>
                <w:tcPr>
                  <w:tcW w:w="777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≥1</w:t>
                  </w:r>
                </w:p>
              </w:tc>
              <w:tc>
                <w:tcPr>
                  <w:tcW w:w="549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488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适配电源线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符合仪器安装需求</w:t>
                  </w:r>
                </w:p>
              </w:tc>
              <w:tc>
                <w:tcPr>
                  <w:tcW w:w="777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若干</w:t>
                  </w:r>
                </w:p>
              </w:tc>
              <w:tc>
                <w:tcPr>
                  <w:tcW w:w="549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488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使用说明书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符合仪器使用需求</w:t>
                  </w:r>
                </w:p>
              </w:tc>
              <w:tc>
                <w:tcPr>
                  <w:tcW w:w="777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549" w:type="dxa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1"/>
                      <w:szCs w:val="21"/>
                      <w:lang w:eastAsia="zh-CN"/>
                    </w:rPr>
                    <w:t>册</w:t>
                  </w:r>
                </w:p>
              </w:tc>
            </w:tr>
          </w:tbl>
          <w:p>
            <w:pPr>
              <w:tabs>
                <w:tab w:val="left" w:pos="420"/>
                <w:tab w:val="left" w:pos="1089"/>
              </w:tabs>
              <w:spacing w:line="400" w:lineRule="exact"/>
              <w:ind w:left="42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3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商务要求：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（请按用户需求里的商务要求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逐条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响应）</w:t>
      </w:r>
    </w:p>
    <w:tbl>
      <w:tblPr>
        <w:tblStyle w:val="6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pacing w:beforeLines="0"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交货及安装、验收要求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1.1交货地点：中山市小榄人民医院，设备到达采购人指定科室。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1.2交货期：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应当在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成交通知书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发出之日起30日内按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磋商文件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确定的事项与采购人签订合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同，签订合同后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日内完成设备的安装调试。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须保证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后所提供的设备为原装、全新合格的产品。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1.5验收方式：按《小榄镇镇属医院医疗项目采购和验收管理规定》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★1.6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须要在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做出具承诺函，该承诺函包括但不限于以下内容: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如项目成交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成交结果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公告发布之日起五个工作日内提供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所投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设备制造厂商开具并盖章的合法有效的授权函原件（盖鲜章）、售后服务承诺函原件（盖鲜章）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售后服务要求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必须在中国境内有售后服务机构，并附有售后服务能力说明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</w:tabs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★2.2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须提供设备原厂质保至少为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</w:tabs>
              <w:spacing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▲2.3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须另外提供设备质保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年；在售后期内，中标人在接到用户的维修通知，响应时间为半小时内，工程师到达现场时间为4小时内，排除故障时限为到达现场后8小时内。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如果产品故障在检修12小时后仍无法排除，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应在24小时内提供不低于故障产品规格型号档次的备用产品供采购人使用，直至故障产品修复。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★3.1本合同的每笔款项以人民币转账方式支付，合同设备到采购人指定地点交付并完成安装，验收合格后，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凭：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（1）合同；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（2）验收调试合格报告（加盖采购人公章）；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开具的正式发票（加盖发票专用章）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★3.2具体付款方式：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合同签订后，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乙方按合同协议时间提供货物，并经协议规定的验收人员书面确认验收合格后，开具全额发票，甲方确认无误后一个月内支付合同总金额的95%的款项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；合同总金额的5%的款项作为售后服务保证金，在质保期满后一次性无息退还。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ZDX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3FAA3"/>
    <w:multiLevelType w:val="singleLevel"/>
    <w:tmpl w:val="DE03FAA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574A17D"/>
    <w:multiLevelType w:val="singleLevel"/>
    <w:tmpl w:val="3574A17D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9041A"/>
    <w:rsid w:val="181021C8"/>
    <w:rsid w:val="2939041A"/>
    <w:rsid w:val="6CA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Cs w:val="20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3194</Words>
  <Characters>3410</Characters>
  <Lines>0</Lines>
  <Paragraphs>0</Paragraphs>
  <TotalTime>1</TotalTime>
  <ScaleCrop>false</ScaleCrop>
  <LinksUpToDate>false</LinksUpToDate>
  <CharactersWithSpaces>3470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2022-02-16T00:49:00Z</dcterms:created>
  <dc:creator>Administrator</dc:creator>
  <cp:lastModifiedBy>Administrator</cp:lastModifiedBy>
  <dcterms:modified xsi:type="dcterms:W3CDTF">2022-04-15T07:36:13Z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2C4766A0A6BF416F8B2A5B62D8B57F5C</vt:lpwstr>
  </property>
</Properties>
</file>