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至中山市小榄人民医院：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耗材报价单：</w:t>
      </w: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55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15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5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5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215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是否为专用耗材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040" w:firstLineChars="18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所需资料如下：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贵公司资质（营业执照、医疗器械经营许可证/备案凭证）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所报产品的详细技术参数、配置清单、医疗器械注册证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厂家资质（营业执照、医疗器械生产许可证、医疗器械生产登记表）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注：上述材料需贵公司盖章。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参数偏离表：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29"/>
        <w:gridCol w:w="1481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参数偏离情况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正</w:t>
            </w:r>
            <w:r>
              <w:rPr>
                <w:rFonts w:hint="eastAsia"/>
                <w:vertAlign w:val="baseline"/>
                <w:lang w:val="en-US" w:eastAsia="zh-CN"/>
              </w:rPr>
              <w:t>/无/</w:t>
            </w:r>
            <w:r>
              <w:rPr>
                <w:rFonts w:hint="eastAsia"/>
                <w:vertAlign w:val="baseline"/>
                <w:lang w:eastAsia="zh-CN"/>
              </w:rPr>
              <w:t>负偏离</w:t>
            </w: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 w:asciiTheme="minorEastAsia" w:hAnsiTheme="minorEastAsia"/>
                <w:color w:val="000008"/>
                <w:lang w:eastAsia="zh-CN"/>
              </w:rPr>
            </w:pPr>
            <w:r>
              <w:rPr>
                <w:rFonts w:asciiTheme="minorEastAsia" w:hAnsiTheme="minorEastAsia"/>
                <w:color w:val="000008"/>
              </w:rPr>
              <w:t>流量调节范围：2–</w:t>
            </w:r>
            <w:r>
              <w:rPr>
                <w:rFonts w:hint="eastAsia" w:asciiTheme="minorEastAsia" w:hAnsiTheme="minorEastAsia"/>
                <w:color w:val="000008"/>
              </w:rPr>
              <w:t>60</w:t>
            </w:r>
            <w:r>
              <w:rPr>
                <w:rFonts w:asciiTheme="minorEastAsia" w:hAnsiTheme="minorEastAsia"/>
                <w:color w:val="000008"/>
              </w:rPr>
              <w:t xml:space="preserve"> L/min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；（范围值允许</w:t>
            </w:r>
            <w:r>
              <w:rPr>
                <w:rFonts w:hint="eastAsia" w:ascii="宋体" w:hAnsi="宋体" w:eastAsia="宋体" w:cs="宋体"/>
                <w:color w:val="000008"/>
                <w:lang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color w:val="000008"/>
                <w:lang w:val="en-US" w:eastAsia="zh-CN"/>
              </w:rPr>
              <w:t>10偏差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 w:asciiTheme="minorEastAsia" w:hAnsiTheme="minorEastAsia"/>
                <w:color w:val="00000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至少具备高流量模式、低流量模式以及CPAP模式；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 w:asciiTheme="minorEastAsia" w:hAnsiTheme="minorEastAsia"/>
                <w:color w:val="00000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温度调节范围：31度至37度之间可调节；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 w:asciiTheme="minorEastAsia" w:hAnsiTheme="minorEastAsia"/>
                <w:color w:val="00000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具备手动、自动切换模式；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 w:asciiTheme="minorEastAsia" w:hAnsiTheme="minorEastAsia"/>
                <w:color w:val="00000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具备监测氧浓度及调节功能，调节范围：20%~90%；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（范围值允许</w:t>
            </w:r>
            <w:r>
              <w:rPr>
                <w:rFonts w:hint="eastAsia" w:ascii="宋体" w:hAnsi="宋体" w:eastAsia="宋体" w:cs="宋体"/>
                <w:color w:val="000008"/>
                <w:lang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color w:val="000008"/>
                <w:lang w:val="en-US" w:eastAsia="zh-CN"/>
              </w:rPr>
              <w:t>10%偏差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 w:asciiTheme="minorEastAsia" w:hAnsiTheme="minorEastAsia"/>
                <w:color w:val="00000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具备湿化控制功能，湿度输出可随不同温度选择不同范围值，相对湿度可达100%；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高湿度输出时，管路无凝水现象；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具备氧浓度监测功能，无需使用氧电池；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具备实时温度监测、流速监测、氧浓度监测等功能；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主机须具备存储功能，可回顾一周内数据；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Theme="minorEastAsia" w:hAnsiTheme="minorEastAsia"/>
                <w:color w:val="000008"/>
              </w:rPr>
              <w:t>加温湿化器具备自动液体加注功能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Theme="minorEastAsia" w:hAnsiTheme="minorEastAsia"/>
                <w:color w:val="000008"/>
              </w:rPr>
              <w:t>设备在高流量条件下（或与呼吸设备共用），可产生持续的气道正压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eastAsia="zh-CN"/>
              </w:rPr>
              <w:t>主机具备一键自动消毒功能；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Theme="minorEastAsia" w:hAnsiTheme="minorEastAsia"/>
                <w:color w:val="000008"/>
              </w:rPr>
              <w:t>呼吸管路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具有</w:t>
            </w:r>
            <w:r>
              <w:rPr>
                <w:rFonts w:asciiTheme="minorEastAsia" w:hAnsiTheme="minorEastAsia"/>
                <w:color w:val="000008"/>
              </w:rPr>
              <w:t>传感器温控，带温度和流量补偿监控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功能；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主机具备触控屏，可人工设置各类参数；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具备氧浓度过高/过低报警功能；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具备呼吸回路堵塞、漏气、管路连接等报警功能；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具备干烧、高温等报警功能；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海绵过滤架可拆卸；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Theme="minorEastAsia" w:hAnsiTheme="minorEastAsia"/>
                <w:color w:val="000008"/>
                <w:position w:val="3"/>
              </w:rPr>
              <w:t>★</w:t>
            </w: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配套使用耗材须在广东省第三方药品电子交易平台线上采购产品；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每套设备配件要求：</w:t>
            </w:r>
            <w:r>
              <w:rPr>
                <w:rFonts w:hint="eastAsia"/>
                <w:szCs w:val="21"/>
              </w:rPr>
              <w:t>墙壁氧连接管</w:t>
            </w:r>
            <w:r>
              <w:rPr>
                <w:rFonts w:hint="eastAsia"/>
                <w:szCs w:val="21"/>
                <w:lang w:val="en-US" w:eastAsia="zh-CN"/>
              </w:rPr>
              <w:t>2根、</w:t>
            </w:r>
            <w:r>
              <w:rPr>
                <w:rFonts w:hint="eastAsia"/>
                <w:szCs w:val="21"/>
              </w:rPr>
              <w:t>加热呼吸管路（输氧管）</w:t>
            </w:r>
            <w:r>
              <w:rPr>
                <w:rFonts w:hint="eastAsia"/>
                <w:szCs w:val="21"/>
                <w:lang w:val="en-US" w:eastAsia="zh-CN"/>
              </w:rPr>
              <w:t>2套、</w:t>
            </w:r>
            <w:r>
              <w:rPr>
                <w:rFonts w:hint="eastAsia"/>
                <w:szCs w:val="21"/>
              </w:rPr>
              <w:t>患者界面（鼻氧管）</w:t>
            </w:r>
            <w:r>
              <w:rPr>
                <w:rFonts w:hint="eastAsia"/>
                <w:szCs w:val="21"/>
                <w:lang w:val="en-US" w:eastAsia="zh-CN"/>
              </w:rPr>
              <w:t>2套、</w:t>
            </w:r>
            <w:r>
              <w:rPr>
                <w:rFonts w:hint="eastAsia"/>
                <w:szCs w:val="21"/>
              </w:rPr>
              <w:t>气切界面</w:t>
            </w:r>
            <w:r>
              <w:rPr>
                <w:rFonts w:hint="eastAsia"/>
                <w:szCs w:val="21"/>
                <w:lang w:val="en-US" w:eastAsia="zh-CN"/>
              </w:rPr>
              <w:t>1套、</w:t>
            </w:r>
            <w:r>
              <w:rPr>
                <w:rFonts w:hint="eastAsia"/>
                <w:szCs w:val="21"/>
              </w:rPr>
              <w:t>台车（含支架，托盘，篮子）</w:t>
            </w:r>
            <w:r>
              <w:rPr>
                <w:rFonts w:hint="eastAsia"/>
                <w:szCs w:val="21"/>
                <w:lang w:val="en-US" w:eastAsia="zh-CN"/>
              </w:rPr>
              <w:t>1套、</w:t>
            </w:r>
            <w:r>
              <w:rPr>
                <w:rFonts w:hint="eastAsia"/>
                <w:szCs w:val="21"/>
              </w:rPr>
              <w:t>氧气过滤片</w:t>
            </w:r>
            <w:r>
              <w:rPr>
                <w:rFonts w:hint="eastAsia"/>
                <w:szCs w:val="21"/>
                <w:lang w:val="en-US" w:eastAsia="zh-CN"/>
              </w:rPr>
              <w:t>2片；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提供设备操作手册；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整机原厂质保3年（管路耗材除外）；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eastAsia="zh-CN"/>
              </w:rPr>
              <w:t>维修响应时间：</w:t>
            </w:r>
            <w:r>
              <w:rPr>
                <w:rFonts w:asciiTheme="minorEastAsia" w:hAnsiTheme="minorEastAsia" w:eastAsiaTheme="minorEastAsia"/>
                <w:color w:val="000008"/>
              </w:rPr>
              <w:t>接到维护电话 6 小时到达现场</w:t>
            </w: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Theme="minorEastAsia" w:hAnsiTheme="minorEastAsia"/>
                <w:color w:val="000008"/>
              </w:rPr>
              <w:t>提供全现场临床操作培训 1 次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和</w:t>
            </w:r>
            <w:r>
              <w:rPr>
                <w:rFonts w:asciiTheme="minorEastAsia" w:hAnsiTheme="minorEastAsia"/>
                <w:color w:val="000008"/>
              </w:rPr>
              <w:t>维护培训至少 1 次</w:t>
            </w:r>
            <w:r>
              <w:rPr>
                <w:rFonts w:hint="eastAsia" w:asciiTheme="minorEastAsia" w:hAnsiTheme="minorEastAsia"/>
                <w:color w:val="000008"/>
                <w:lang w:eastAsia="zh-CN"/>
              </w:rPr>
              <w:t>，并录制培训解说视频同步交付采购人；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numPr>
                <w:numId w:val="0"/>
              </w:numPr>
              <w:spacing w:line="440" w:lineRule="exac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供货期：签订合同之日起10天内完成设备送货、安装、调试以及培训；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8"/>
                <w:lang w:val="en-US" w:eastAsia="zh-CN"/>
              </w:rPr>
              <w:t>付款方式：等待设备验收合格之日起，成交供应商开具全额普通发票，采购人30日内支付成交价的95%，剩余5%将待质保期满后30日内一次性无息支付。</w:t>
            </w:r>
          </w:p>
        </w:tc>
        <w:tc>
          <w:tcPr>
            <w:tcW w:w="1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6AEBE"/>
    <w:multiLevelType w:val="singleLevel"/>
    <w:tmpl w:val="8B96AE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63EF3"/>
    <w:rsid w:val="3E186FB8"/>
    <w:rsid w:val="49C63EF3"/>
    <w:rsid w:val="689A179C"/>
    <w:rsid w:val="698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2021-12-08T07:52:41Z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